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67D2" w14:textId="77777777" w:rsidR="00B8067A" w:rsidRDefault="00B8067A"/>
    <w:p w14:paraId="7BE4C9F0" w14:textId="77777777" w:rsidR="00BB218C" w:rsidRPr="002D729F" w:rsidRDefault="00BB218C" w:rsidP="002D729F">
      <w:pPr>
        <w:tabs>
          <w:tab w:val="left" w:pos="6060"/>
        </w:tabs>
      </w:pPr>
      <w:r w:rsidRPr="00300A92">
        <w:rPr>
          <w:rFonts w:ascii="Garamond" w:hAnsi="Garamond"/>
          <w:b/>
          <w:color w:val="1F497D" w:themeColor="text2"/>
        </w:rPr>
        <w:t xml:space="preserve">MØTEREFERAT </w:t>
      </w:r>
      <w:r w:rsidR="0051702C">
        <w:rPr>
          <w:rFonts w:ascii="Garamond" w:hAnsi="Garamond"/>
          <w:b/>
          <w:color w:val="1F497D" w:themeColor="text2"/>
        </w:rPr>
        <w:t>21.03.2019 NASJONAL</w:t>
      </w:r>
      <w:r w:rsidRPr="00796B00">
        <w:rPr>
          <w:rFonts w:ascii="Garamond" w:hAnsi="Garamond"/>
          <w:b/>
          <w:color w:val="1F497D" w:themeColor="text2"/>
        </w:rPr>
        <w:t xml:space="preserve"> NETTVERKSGRUPPE FOR BEHANDLINGSHJELPMIDLER</w:t>
      </w:r>
    </w:p>
    <w:tbl>
      <w:tblPr>
        <w:tblStyle w:val="Tabellrutenett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77"/>
        <w:gridCol w:w="4110"/>
        <w:gridCol w:w="993"/>
        <w:gridCol w:w="3402"/>
      </w:tblGrid>
      <w:tr w:rsidR="00BB218C" w:rsidRPr="003D535B" w14:paraId="580C49C2" w14:textId="77777777" w:rsidTr="00FD7DC9">
        <w:tc>
          <w:tcPr>
            <w:tcW w:w="1277" w:type="dxa"/>
          </w:tcPr>
          <w:p w14:paraId="1323F68C" w14:textId="77777777" w:rsidR="00BB218C" w:rsidRPr="003D535B" w:rsidRDefault="00BB218C" w:rsidP="00FD7DC9">
            <w:pPr>
              <w:spacing w:before="40" w:after="40"/>
              <w:rPr>
                <w:rFonts w:ascii="Garamond" w:hAnsi="Garamond" w:cs="Arial"/>
                <w:b/>
                <w:sz w:val="22"/>
                <w:szCs w:val="22"/>
              </w:rPr>
            </w:pPr>
            <w:r w:rsidRPr="003D535B">
              <w:rPr>
                <w:rFonts w:ascii="Garamond" w:hAnsi="Garamond" w:cs="Arial"/>
                <w:b/>
                <w:sz w:val="22"/>
                <w:szCs w:val="22"/>
              </w:rPr>
              <w:t>Møteleder:</w:t>
            </w:r>
          </w:p>
        </w:tc>
        <w:tc>
          <w:tcPr>
            <w:tcW w:w="4110" w:type="dxa"/>
          </w:tcPr>
          <w:p w14:paraId="65B62429" w14:textId="77777777" w:rsidR="00BB218C" w:rsidRPr="003D535B" w:rsidRDefault="0051702C" w:rsidP="00FD7DC9">
            <w:pPr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Jon Bruun-Hanssen</w:t>
            </w:r>
          </w:p>
        </w:tc>
        <w:tc>
          <w:tcPr>
            <w:tcW w:w="993" w:type="dxa"/>
          </w:tcPr>
          <w:p w14:paraId="179627CB" w14:textId="77777777" w:rsidR="00BB218C" w:rsidRPr="003D535B" w:rsidRDefault="00BB218C" w:rsidP="00FD7DC9">
            <w:pPr>
              <w:spacing w:before="40" w:after="40"/>
              <w:rPr>
                <w:rFonts w:ascii="Garamond" w:hAnsi="Garamond" w:cs="Arial"/>
                <w:b/>
                <w:sz w:val="22"/>
                <w:szCs w:val="22"/>
              </w:rPr>
            </w:pPr>
            <w:r w:rsidRPr="003D535B">
              <w:rPr>
                <w:rFonts w:ascii="Garamond" w:hAnsi="Garamond" w:cs="Arial"/>
                <w:b/>
                <w:sz w:val="22"/>
                <w:szCs w:val="22"/>
              </w:rPr>
              <w:t>Tid:</w:t>
            </w:r>
          </w:p>
        </w:tc>
        <w:tc>
          <w:tcPr>
            <w:tcW w:w="3402" w:type="dxa"/>
          </w:tcPr>
          <w:p w14:paraId="768143A0" w14:textId="77777777" w:rsidR="00BB218C" w:rsidRPr="003D535B" w:rsidRDefault="00520489" w:rsidP="00FD7DC9">
            <w:pPr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09:30-15.00</w:t>
            </w:r>
          </w:p>
        </w:tc>
      </w:tr>
      <w:tr w:rsidR="00BB218C" w:rsidRPr="003D535B" w14:paraId="047E38F6" w14:textId="77777777" w:rsidTr="00FD7DC9">
        <w:tc>
          <w:tcPr>
            <w:tcW w:w="1277" w:type="dxa"/>
          </w:tcPr>
          <w:p w14:paraId="6A768266" w14:textId="77777777" w:rsidR="00BB218C" w:rsidRPr="003D535B" w:rsidRDefault="00BB218C" w:rsidP="00FD7DC9">
            <w:pPr>
              <w:spacing w:before="40" w:after="40"/>
              <w:rPr>
                <w:rFonts w:ascii="Garamond" w:hAnsi="Garamond" w:cs="Arial"/>
                <w:b/>
                <w:sz w:val="22"/>
                <w:szCs w:val="22"/>
              </w:rPr>
            </w:pPr>
            <w:r w:rsidRPr="003D535B">
              <w:rPr>
                <w:rFonts w:ascii="Garamond" w:hAnsi="Garamond" w:cs="Arial"/>
                <w:b/>
                <w:sz w:val="22"/>
                <w:szCs w:val="22"/>
              </w:rPr>
              <w:t>Referent:</w:t>
            </w:r>
          </w:p>
        </w:tc>
        <w:tc>
          <w:tcPr>
            <w:tcW w:w="4110" w:type="dxa"/>
          </w:tcPr>
          <w:p w14:paraId="5F75649C" w14:textId="77777777" w:rsidR="00BB218C" w:rsidRPr="003D535B" w:rsidRDefault="00BB218C" w:rsidP="00FD7DC9">
            <w:pPr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3D535B">
              <w:rPr>
                <w:rFonts w:ascii="Garamond" w:hAnsi="Garamond" w:cs="Arial"/>
                <w:sz w:val="22"/>
                <w:szCs w:val="22"/>
              </w:rPr>
              <w:t xml:space="preserve">Linda Haveland </w:t>
            </w:r>
          </w:p>
        </w:tc>
        <w:tc>
          <w:tcPr>
            <w:tcW w:w="993" w:type="dxa"/>
          </w:tcPr>
          <w:p w14:paraId="35A1A18B" w14:textId="77777777" w:rsidR="00BB218C" w:rsidRPr="003D535B" w:rsidRDefault="00BB218C" w:rsidP="00FD7DC9">
            <w:pPr>
              <w:spacing w:before="40" w:after="40"/>
              <w:rPr>
                <w:rFonts w:ascii="Garamond" w:hAnsi="Garamond" w:cs="Arial"/>
                <w:b/>
                <w:sz w:val="22"/>
                <w:szCs w:val="22"/>
              </w:rPr>
            </w:pPr>
            <w:r w:rsidRPr="003D535B">
              <w:rPr>
                <w:rFonts w:ascii="Garamond" w:hAnsi="Garamond" w:cs="Arial"/>
                <w:b/>
                <w:sz w:val="22"/>
                <w:szCs w:val="22"/>
              </w:rPr>
              <w:t>Sted:</w:t>
            </w:r>
          </w:p>
        </w:tc>
        <w:tc>
          <w:tcPr>
            <w:tcW w:w="3402" w:type="dxa"/>
          </w:tcPr>
          <w:p w14:paraId="14BF286A" w14:textId="77777777" w:rsidR="00D44768" w:rsidRPr="003D535B" w:rsidRDefault="00520489" w:rsidP="00520489">
            <w:pPr>
              <w:tabs>
                <w:tab w:val="left" w:pos="1786"/>
              </w:tabs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Radisson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Blu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Gardermoen</w:t>
            </w:r>
          </w:p>
        </w:tc>
      </w:tr>
      <w:tr w:rsidR="00BB218C" w:rsidRPr="003D535B" w14:paraId="1E157A98" w14:textId="77777777" w:rsidTr="00FD7DC9">
        <w:tc>
          <w:tcPr>
            <w:tcW w:w="1277" w:type="dxa"/>
          </w:tcPr>
          <w:p w14:paraId="795BEFA9" w14:textId="77777777" w:rsidR="00BB218C" w:rsidRPr="003D535B" w:rsidRDefault="00BB218C" w:rsidP="00FD7DC9">
            <w:pPr>
              <w:spacing w:before="40" w:after="40"/>
              <w:rPr>
                <w:rFonts w:ascii="Garamond" w:hAnsi="Garamond" w:cs="Arial"/>
                <w:b/>
                <w:sz w:val="22"/>
                <w:szCs w:val="22"/>
              </w:rPr>
            </w:pPr>
            <w:r w:rsidRPr="003D535B">
              <w:rPr>
                <w:rFonts w:ascii="Garamond" w:hAnsi="Garamond" w:cs="Arial"/>
                <w:b/>
                <w:sz w:val="22"/>
                <w:szCs w:val="22"/>
              </w:rPr>
              <w:t>Deltakere:</w:t>
            </w:r>
          </w:p>
        </w:tc>
        <w:tc>
          <w:tcPr>
            <w:tcW w:w="8505" w:type="dxa"/>
            <w:gridSpan w:val="3"/>
          </w:tcPr>
          <w:p w14:paraId="57060C5F" w14:textId="77777777" w:rsidR="00BB218C" w:rsidRPr="003D535B" w:rsidRDefault="00520489" w:rsidP="00432176">
            <w:pPr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Dag Søgaar</w:t>
            </w:r>
            <w:r w:rsidR="0051702C">
              <w:rPr>
                <w:rFonts w:ascii="Garamond" w:hAnsi="Garamond" w:cs="Arial"/>
                <w:sz w:val="22"/>
                <w:szCs w:val="22"/>
              </w:rPr>
              <w:t xml:space="preserve">d, Bjørn </w:t>
            </w:r>
            <w:proofErr w:type="spellStart"/>
            <w:r w:rsidR="0051702C">
              <w:rPr>
                <w:rFonts w:ascii="Garamond" w:hAnsi="Garamond" w:cs="Arial"/>
                <w:sz w:val="22"/>
                <w:szCs w:val="22"/>
              </w:rPr>
              <w:t>Grytli</w:t>
            </w:r>
            <w:proofErr w:type="spellEnd"/>
            <w:r w:rsidR="0051702C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Elisabeth Fahlstrøm, Gunn Krogenes Larsen, </w:t>
            </w:r>
            <w:r w:rsidR="00432176">
              <w:rPr>
                <w:rFonts w:ascii="Garamond" w:hAnsi="Garamond" w:cs="Arial"/>
                <w:sz w:val="22"/>
                <w:szCs w:val="22"/>
              </w:rPr>
              <w:t xml:space="preserve">Kjersti Tollaksen,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Jon Bruun-Hanssen, </w:t>
            </w:r>
            <w:r w:rsidR="0051702C">
              <w:rPr>
                <w:rFonts w:ascii="Garamond" w:hAnsi="Garamond" w:cs="Arial"/>
                <w:sz w:val="22"/>
                <w:szCs w:val="22"/>
              </w:rPr>
              <w:t xml:space="preserve">Maria </w:t>
            </w:r>
            <w:proofErr w:type="spellStart"/>
            <w:r w:rsidR="0051702C">
              <w:rPr>
                <w:rFonts w:ascii="Garamond" w:hAnsi="Garamond" w:cs="Arial"/>
                <w:sz w:val="22"/>
                <w:szCs w:val="22"/>
              </w:rPr>
              <w:t>Rausandaksel</w:t>
            </w:r>
            <w:proofErr w:type="spellEnd"/>
            <w:r w:rsidR="0051702C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="00432176">
              <w:rPr>
                <w:rFonts w:ascii="Garamond" w:hAnsi="Garamond" w:cs="Arial"/>
                <w:sz w:val="22"/>
                <w:szCs w:val="22"/>
              </w:rPr>
              <w:t>Kamilla Albrigtsen.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BB218C" w:rsidRPr="003D535B" w14:paraId="10E73DAA" w14:textId="77777777" w:rsidTr="00FD7DC9">
        <w:tc>
          <w:tcPr>
            <w:tcW w:w="1277" w:type="dxa"/>
          </w:tcPr>
          <w:p w14:paraId="390CEA24" w14:textId="77777777" w:rsidR="00BB218C" w:rsidRPr="003D535B" w:rsidRDefault="00BB218C" w:rsidP="00FD7DC9">
            <w:pPr>
              <w:spacing w:before="40" w:after="40"/>
              <w:rPr>
                <w:rFonts w:ascii="Garamond" w:hAnsi="Garamond" w:cs="Arial"/>
                <w:b/>
                <w:sz w:val="22"/>
                <w:szCs w:val="22"/>
              </w:rPr>
            </w:pPr>
            <w:r w:rsidRPr="003D535B">
              <w:rPr>
                <w:rFonts w:ascii="Garamond" w:hAnsi="Garamond" w:cs="Arial"/>
                <w:b/>
                <w:sz w:val="22"/>
                <w:szCs w:val="22"/>
              </w:rPr>
              <w:t>Fravær:</w:t>
            </w:r>
          </w:p>
        </w:tc>
        <w:tc>
          <w:tcPr>
            <w:tcW w:w="8505" w:type="dxa"/>
            <w:gridSpan w:val="3"/>
          </w:tcPr>
          <w:p w14:paraId="3F7F4783" w14:textId="77777777" w:rsidR="00BB218C" w:rsidRPr="003D535B" w:rsidRDefault="0051702C" w:rsidP="00FD7DC9">
            <w:pPr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Berit Herlofsen, </w:t>
            </w:r>
            <w:r w:rsidR="00520489">
              <w:rPr>
                <w:rFonts w:ascii="Garamond" w:hAnsi="Garamond" w:cs="Arial"/>
                <w:sz w:val="22"/>
                <w:szCs w:val="22"/>
              </w:rPr>
              <w:t>Anne Rødal, Kristian Fougner, Bård Skage.</w:t>
            </w:r>
          </w:p>
        </w:tc>
      </w:tr>
    </w:tbl>
    <w:p w14:paraId="12356AC4" w14:textId="77777777" w:rsidR="00BB218C" w:rsidRPr="003D535B" w:rsidRDefault="00BB218C" w:rsidP="00BB218C">
      <w:pPr>
        <w:rPr>
          <w:rFonts w:ascii="Arial" w:hAnsi="Arial"/>
          <w:sz w:val="20"/>
        </w:rPr>
      </w:pPr>
    </w:p>
    <w:tbl>
      <w:tblPr>
        <w:tblW w:w="543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8874"/>
      </w:tblGrid>
      <w:tr w:rsidR="00BB218C" w:rsidRPr="003D535B" w14:paraId="47B8A254" w14:textId="77777777" w:rsidTr="007650BB">
        <w:trPr>
          <w:trHeight w:val="381"/>
        </w:trPr>
        <w:tc>
          <w:tcPr>
            <w:tcW w:w="495" w:type="pct"/>
            <w:shd w:val="pct10" w:color="auto" w:fill="auto"/>
          </w:tcPr>
          <w:p w14:paraId="264DAA09" w14:textId="77777777" w:rsidR="00BB218C" w:rsidRPr="003D535B" w:rsidRDefault="00BB218C" w:rsidP="00FD7DC9">
            <w:pPr>
              <w:spacing w:before="120" w:after="120"/>
              <w:ind w:right="-140"/>
              <w:rPr>
                <w:rFonts w:ascii="Garamond" w:hAnsi="Garamond"/>
                <w:b/>
                <w:sz w:val="22"/>
                <w:szCs w:val="22"/>
              </w:rPr>
            </w:pPr>
            <w:r w:rsidRPr="003D535B">
              <w:rPr>
                <w:rFonts w:ascii="Garamond" w:hAnsi="Garamond"/>
                <w:b/>
                <w:bCs/>
                <w:sz w:val="22"/>
                <w:szCs w:val="22"/>
              </w:rPr>
              <w:t>Sak</w:t>
            </w:r>
          </w:p>
        </w:tc>
        <w:tc>
          <w:tcPr>
            <w:tcW w:w="4505" w:type="pct"/>
            <w:shd w:val="pct10" w:color="auto" w:fill="auto"/>
          </w:tcPr>
          <w:p w14:paraId="0C80E407" w14:textId="77777777" w:rsidR="00BB218C" w:rsidRPr="003D535B" w:rsidRDefault="00BB218C" w:rsidP="00FD7DC9">
            <w:pPr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D535B">
              <w:rPr>
                <w:rFonts w:ascii="Garamond" w:hAnsi="Garamond"/>
                <w:b/>
                <w:bCs/>
                <w:sz w:val="22"/>
                <w:szCs w:val="22"/>
              </w:rPr>
              <w:t>Sak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s</w:t>
            </w:r>
            <w:r w:rsidRPr="003D535B">
              <w:rPr>
                <w:rFonts w:ascii="Garamond" w:hAnsi="Garamond"/>
                <w:b/>
                <w:bCs/>
                <w:sz w:val="22"/>
                <w:szCs w:val="22"/>
              </w:rPr>
              <w:t>tittel/referat</w:t>
            </w:r>
          </w:p>
        </w:tc>
      </w:tr>
      <w:tr w:rsidR="00BB218C" w:rsidRPr="003D535B" w14:paraId="227ADE6E" w14:textId="77777777" w:rsidTr="007650BB">
        <w:trPr>
          <w:trHeight w:val="459"/>
        </w:trPr>
        <w:tc>
          <w:tcPr>
            <w:tcW w:w="495" w:type="pct"/>
            <w:shd w:val="clear" w:color="auto" w:fill="FFFFFF"/>
          </w:tcPr>
          <w:p w14:paraId="11385CCA" w14:textId="77777777" w:rsidR="00BB218C" w:rsidRPr="003D535B" w:rsidRDefault="00BB218C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 w:rsidRPr="003D535B"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  <w:t>A.</w:t>
            </w:r>
          </w:p>
        </w:tc>
        <w:tc>
          <w:tcPr>
            <w:tcW w:w="4505" w:type="pct"/>
            <w:shd w:val="clear" w:color="auto" w:fill="FFFFFF"/>
          </w:tcPr>
          <w:p w14:paraId="3A4C76EB" w14:textId="3334C706" w:rsidR="00BB218C" w:rsidRPr="00E82624" w:rsidRDefault="00BB218C" w:rsidP="00FD7DC9">
            <w:pPr>
              <w:spacing w:before="120" w:after="120"/>
              <w:ind w:right="-142"/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BB218C" w:rsidRPr="003D535B" w14:paraId="5C31EA3C" w14:textId="77777777" w:rsidTr="007650BB">
        <w:tc>
          <w:tcPr>
            <w:tcW w:w="495" w:type="pct"/>
            <w:shd w:val="clear" w:color="auto" w:fill="FFFFFF"/>
          </w:tcPr>
          <w:p w14:paraId="5EB3D942" w14:textId="77777777" w:rsidR="00BB218C" w:rsidRPr="003D535B" w:rsidRDefault="00BB218C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 w:rsidRPr="003D535B"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  <w:t>I.</w:t>
            </w:r>
          </w:p>
        </w:tc>
        <w:tc>
          <w:tcPr>
            <w:tcW w:w="4505" w:type="pct"/>
            <w:shd w:val="clear" w:color="auto" w:fill="FFFFFF"/>
          </w:tcPr>
          <w:p w14:paraId="34A294C4" w14:textId="77777777" w:rsidR="00BB218C" w:rsidRPr="007A77EA" w:rsidRDefault="00BB218C" w:rsidP="00FD7DC9">
            <w:pPr>
              <w:spacing w:before="120" w:after="120"/>
              <w:ind w:right="-142"/>
              <w:rPr>
                <w:rFonts w:ascii="Garamond" w:hAnsi="Garamond"/>
                <w:b/>
                <w:sz w:val="22"/>
                <w:szCs w:val="22"/>
              </w:rPr>
            </w:pPr>
            <w:r w:rsidRPr="003D535B">
              <w:rPr>
                <w:rFonts w:ascii="Garamond" w:hAnsi="Garamond"/>
                <w:b/>
                <w:bCs/>
                <w:sz w:val="22"/>
                <w:szCs w:val="22"/>
              </w:rPr>
              <w:t>Godkjenning</w:t>
            </w:r>
            <w:r w:rsidRPr="003D535B">
              <w:rPr>
                <w:rFonts w:ascii="Garamond" w:hAnsi="Garamond"/>
                <w:b/>
                <w:sz w:val="22"/>
                <w:szCs w:val="22"/>
              </w:rPr>
              <w:t xml:space="preserve"> av innkalling og sak</w:t>
            </w:r>
            <w:r>
              <w:rPr>
                <w:rFonts w:ascii="Garamond" w:hAnsi="Garamond"/>
                <w:b/>
                <w:sz w:val="22"/>
                <w:szCs w:val="22"/>
              </w:rPr>
              <w:t>s</w:t>
            </w:r>
            <w:r w:rsidRPr="003D535B">
              <w:rPr>
                <w:rFonts w:ascii="Garamond" w:hAnsi="Garamond"/>
                <w:b/>
                <w:sz w:val="22"/>
                <w:szCs w:val="22"/>
              </w:rPr>
              <w:t>liste</w:t>
            </w:r>
            <w:r w:rsidR="000250A4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</w:tr>
      <w:tr w:rsidR="00BB218C" w:rsidRPr="003D535B" w14:paraId="091621ED" w14:textId="77777777" w:rsidTr="007650BB">
        <w:tc>
          <w:tcPr>
            <w:tcW w:w="495" w:type="pct"/>
            <w:shd w:val="clear" w:color="auto" w:fill="FFFFFF"/>
          </w:tcPr>
          <w:p w14:paraId="01F3E122" w14:textId="77777777" w:rsidR="00BB218C" w:rsidRPr="003D535B" w:rsidRDefault="00BB218C" w:rsidP="00FD7DC9">
            <w:pPr>
              <w:spacing w:before="120" w:after="120"/>
              <w:outlineLvl w:val="1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</w:p>
        </w:tc>
        <w:tc>
          <w:tcPr>
            <w:tcW w:w="4505" w:type="pct"/>
            <w:shd w:val="clear" w:color="auto" w:fill="FFFFFF"/>
          </w:tcPr>
          <w:p w14:paraId="041086F5" w14:textId="4FB5DE81" w:rsidR="00586805" w:rsidRPr="004C69A2" w:rsidRDefault="00476FC6" w:rsidP="004C69A2">
            <w:pPr>
              <w:spacing w:before="120" w:after="120"/>
              <w:ind w:right="-142"/>
              <w:rPr>
                <w:rFonts w:ascii="Garamond" w:hAnsi="Garamond"/>
                <w:bCs/>
                <w:sz w:val="22"/>
                <w:szCs w:val="22"/>
              </w:rPr>
            </w:pPr>
            <w:r w:rsidRPr="003D535B">
              <w:rPr>
                <w:rFonts w:ascii="Garamond" w:hAnsi="Garamond"/>
                <w:bCs/>
                <w:sz w:val="22"/>
                <w:szCs w:val="22"/>
              </w:rPr>
              <w:t>Innkalling og sak</w:t>
            </w:r>
            <w:r w:rsidR="00A215BA">
              <w:rPr>
                <w:rFonts w:ascii="Garamond" w:hAnsi="Garamond"/>
                <w:bCs/>
                <w:sz w:val="22"/>
                <w:szCs w:val="22"/>
              </w:rPr>
              <w:t>s</w:t>
            </w:r>
            <w:r w:rsidRPr="003D535B">
              <w:rPr>
                <w:rFonts w:ascii="Garamond" w:hAnsi="Garamond"/>
                <w:bCs/>
                <w:sz w:val="22"/>
                <w:szCs w:val="22"/>
              </w:rPr>
              <w:t xml:space="preserve">liste </w:t>
            </w:r>
            <w:r w:rsidR="00371377">
              <w:rPr>
                <w:rFonts w:ascii="Garamond" w:hAnsi="Garamond"/>
                <w:bCs/>
                <w:sz w:val="22"/>
                <w:szCs w:val="22"/>
              </w:rPr>
              <w:t xml:space="preserve">er </w:t>
            </w:r>
            <w:r w:rsidRPr="003D535B">
              <w:rPr>
                <w:rFonts w:ascii="Garamond" w:hAnsi="Garamond"/>
                <w:bCs/>
                <w:sz w:val="22"/>
                <w:szCs w:val="22"/>
              </w:rPr>
              <w:t>godkjent med tilleggssaker under eventuelt</w:t>
            </w:r>
            <w:r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BB218C" w:rsidRPr="003D535B" w14:paraId="085476C3" w14:textId="77777777" w:rsidTr="007650BB">
        <w:tc>
          <w:tcPr>
            <w:tcW w:w="495" w:type="pct"/>
            <w:shd w:val="clear" w:color="auto" w:fill="FFFFFF"/>
          </w:tcPr>
          <w:p w14:paraId="31203F0E" w14:textId="77777777" w:rsidR="00BB218C" w:rsidRPr="003D535B" w:rsidRDefault="00BB218C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 w:rsidRPr="003D535B"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4505" w:type="pct"/>
            <w:shd w:val="clear" w:color="auto" w:fill="FFFFFF"/>
          </w:tcPr>
          <w:p w14:paraId="3D1FCEFC" w14:textId="77777777" w:rsidR="00BB218C" w:rsidRPr="003D535B" w:rsidRDefault="00BB218C" w:rsidP="0051702C">
            <w:pPr>
              <w:spacing w:before="120" w:after="120"/>
              <w:ind w:right="-142"/>
              <w:rPr>
                <w:rFonts w:ascii="Garamond" w:hAnsi="Garamond"/>
                <w:b/>
                <w:sz w:val="22"/>
                <w:szCs w:val="22"/>
              </w:rPr>
            </w:pPr>
            <w:r w:rsidRPr="003D535B">
              <w:rPr>
                <w:rFonts w:ascii="Garamond" w:hAnsi="Garamond"/>
                <w:b/>
                <w:bCs/>
                <w:sz w:val="22"/>
                <w:szCs w:val="22"/>
              </w:rPr>
              <w:t>Godkjenning</w:t>
            </w:r>
            <w:r w:rsidRPr="003D535B">
              <w:rPr>
                <w:rFonts w:ascii="Garamond" w:hAnsi="Garamond"/>
                <w:b/>
                <w:sz w:val="22"/>
                <w:szCs w:val="22"/>
              </w:rPr>
              <w:t xml:space="preserve"> av referat fra NNB-møte </w:t>
            </w:r>
            <w:r w:rsidR="0051702C">
              <w:rPr>
                <w:rFonts w:ascii="Garamond" w:hAnsi="Garamond"/>
                <w:b/>
                <w:sz w:val="22"/>
                <w:szCs w:val="22"/>
              </w:rPr>
              <w:t>31.01.2019</w:t>
            </w:r>
            <w:r w:rsidR="00537087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</w:tr>
      <w:tr w:rsidR="00BB218C" w:rsidRPr="003D535B" w14:paraId="4CFBEDA8" w14:textId="77777777" w:rsidTr="007650BB">
        <w:trPr>
          <w:trHeight w:val="444"/>
        </w:trPr>
        <w:tc>
          <w:tcPr>
            <w:tcW w:w="495" w:type="pct"/>
            <w:shd w:val="clear" w:color="auto" w:fill="FFFFFF"/>
          </w:tcPr>
          <w:p w14:paraId="2B5CC8D2" w14:textId="77777777" w:rsidR="00BB218C" w:rsidRPr="003D535B" w:rsidRDefault="00BB218C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5" w:type="pct"/>
            <w:shd w:val="clear" w:color="auto" w:fill="FFFFFF"/>
          </w:tcPr>
          <w:p w14:paraId="2190D9B0" w14:textId="0704C4C5" w:rsidR="00325F4F" w:rsidRPr="00CB7A02" w:rsidRDefault="00CB7A02" w:rsidP="004035AE">
            <w:pPr>
              <w:spacing w:before="120" w:after="120"/>
              <w:ind w:right="-142"/>
              <w:rPr>
                <w:rFonts w:ascii="Garamond" w:hAnsi="Garamond"/>
                <w:bCs/>
                <w:sz w:val="22"/>
                <w:szCs w:val="22"/>
              </w:rPr>
            </w:pPr>
            <w:r w:rsidRPr="00CB7A02">
              <w:rPr>
                <w:rFonts w:ascii="Garamond" w:hAnsi="Garamond"/>
                <w:bCs/>
                <w:sz w:val="22"/>
                <w:szCs w:val="22"/>
              </w:rPr>
              <w:t xml:space="preserve">Referat </w:t>
            </w:r>
            <w:r w:rsidR="00371377">
              <w:rPr>
                <w:rFonts w:ascii="Garamond" w:hAnsi="Garamond"/>
                <w:bCs/>
                <w:sz w:val="22"/>
                <w:szCs w:val="22"/>
              </w:rPr>
              <w:t xml:space="preserve">er </w:t>
            </w:r>
            <w:r w:rsidRPr="00CB7A02">
              <w:rPr>
                <w:rFonts w:ascii="Garamond" w:hAnsi="Garamond"/>
                <w:bCs/>
                <w:sz w:val="22"/>
                <w:szCs w:val="22"/>
              </w:rPr>
              <w:t>godkjent og lagt ut på Forum.</w:t>
            </w:r>
          </w:p>
        </w:tc>
      </w:tr>
      <w:tr w:rsidR="00BB218C" w:rsidRPr="003D535B" w14:paraId="56BD76F0" w14:textId="77777777" w:rsidTr="007650BB">
        <w:trPr>
          <w:trHeight w:val="791"/>
        </w:trPr>
        <w:tc>
          <w:tcPr>
            <w:tcW w:w="495" w:type="pct"/>
            <w:shd w:val="clear" w:color="auto" w:fill="FFFFFF"/>
          </w:tcPr>
          <w:p w14:paraId="77D93320" w14:textId="77777777" w:rsidR="00BB218C" w:rsidRPr="003D535B" w:rsidRDefault="0051702C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44768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5" w:type="pct"/>
            <w:shd w:val="clear" w:color="auto" w:fill="FFFFFF"/>
          </w:tcPr>
          <w:p w14:paraId="628B3E72" w14:textId="77777777" w:rsidR="0051702C" w:rsidRDefault="0051702C" w:rsidP="0051702C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0" w:name="OLE_LINK3"/>
            <w:bookmarkStart w:id="1" w:name="OLE_LINK4"/>
            <w:r>
              <w:rPr>
                <w:rFonts w:ascii="Garamond" w:hAnsi="Garamond"/>
                <w:b/>
                <w:bCs/>
                <w:sz w:val="22"/>
                <w:szCs w:val="22"/>
              </w:rPr>
              <w:t>Velkommen av ny NNB-leder Jon Bruun-Hanssen</w:t>
            </w:r>
          </w:p>
          <w:p w14:paraId="12E783F1" w14:textId="77777777" w:rsidR="00A93C47" w:rsidRPr="002F35EA" w:rsidRDefault="0051702C" w:rsidP="00A93C47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F35EA">
              <w:rPr>
                <w:rFonts w:ascii="Garamond" w:hAnsi="Garamond"/>
                <w:b/>
                <w:bCs/>
                <w:sz w:val="22"/>
                <w:szCs w:val="22"/>
              </w:rPr>
              <w:t>Oppsummering fra gårsdagens arbeidsmøte</w:t>
            </w:r>
            <w:bookmarkEnd w:id="0"/>
            <w:bookmarkEnd w:id="1"/>
          </w:p>
        </w:tc>
      </w:tr>
      <w:tr w:rsidR="00BB218C" w:rsidRPr="003D535B" w14:paraId="559C3FBD" w14:textId="77777777" w:rsidTr="007650BB">
        <w:tc>
          <w:tcPr>
            <w:tcW w:w="495" w:type="pct"/>
            <w:shd w:val="clear" w:color="auto" w:fill="FFFFFF"/>
          </w:tcPr>
          <w:p w14:paraId="3D88AC7B" w14:textId="77777777" w:rsidR="00BB218C" w:rsidRPr="003D535B" w:rsidRDefault="00BB218C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5" w:type="pct"/>
            <w:shd w:val="clear" w:color="auto" w:fill="FFFFFF"/>
          </w:tcPr>
          <w:p w14:paraId="3F4DB59D" w14:textId="2E2D6A51" w:rsidR="00F663C8" w:rsidRDefault="00D03A55" w:rsidP="00A93C47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Fra 1. februar: ny </w:t>
            </w:r>
            <w:r w:rsidR="00371377">
              <w:rPr>
                <w:bCs/>
                <w:sz w:val="22"/>
                <w:szCs w:val="22"/>
              </w:rPr>
              <w:t xml:space="preserve">NNB-leder: Jon Bruun-Hanssen, </w:t>
            </w:r>
            <w:r>
              <w:rPr>
                <w:bCs/>
                <w:sz w:val="22"/>
                <w:szCs w:val="22"/>
              </w:rPr>
              <w:t>nestleder</w:t>
            </w:r>
            <w:r w:rsidR="00371377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Bjørn </w:t>
            </w:r>
            <w:proofErr w:type="spellStart"/>
            <w:r>
              <w:rPr>
                <w:bCs/>
                <w:sz w:val="22"/>
                <w:szCs w:val="22"/>
              </w:rPr>
              <w:t>Grytli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="00BA3072">
              <w:rPr>
                <w:bCs/>
                <w:sz w:val="22"/>
                <w:szCs w:val="22"/>
              </w:rPr>
              <w:t xml:space="preserve"> </w:t>
            </w:r>
            <w:r w:rsidR="008E30B0">
              <w:rPr>
                <w:bCs/>
                <w:sz w:val="22"/>
                <w:szCs w:val="22"/>
              </w:rPr>
              <w:t xml:space="preserve"> </w:t>
            </w:r>
          </w:p>
          <w:p w14:paraId="233D1417" w14:textId="62275E31" w:rsidR="00A93C47" w:rsidRPr="003F2E81" w:rsidRDefault="00D76C0A" w:rsidP="00A93C47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A93C47" w:rsidRPr="003F2E81">
              <w:rPr>
                <w:bCs/>
                <w:sz w:val="22"/>
                <w:szCs w:val="22"/>
              </w:rPr>
              <w:t xml:space="preserve">gårsdagens arbeidsmøte </w:t>
            </w:r>
            <w:r w:rsidR="00BA3072">
              <w:rPr>
                <w:bCs/>
                <w:sz w:val="22"/>
                <w:szCs w:val="22"/>
              </w:rPr>
              <w:t xml:space="preserve">ble </w:t>
            </w:r>
            <w:r w:rsidR="008E30B0">
              <w:rPr>
                <w:bCs/>
                <w:sz w:val="22"/>
                <w:szCs w:val="22"/>
              </w:rPr>
              <w:t xml:space="preserve">det </w:t>
            </w:r>
            <w:r w:rsidR="00BA3072">
              <w:rPr>
                <w:bCs/>
                <w:sz w:val="22"/>
                <w:szCs w:val="22"/>
              </w:rPr>
              <w:t xml:space="preserve">diskutert </w:t>
            </w:r>
            <w:r w:rsidR="00371377">
              <w:rPr>
                <w:bCs/>
                <w:sz w:val="22"/>
                <w:szCs w:val="22"/>
              </w:rPr>
              <w:t xml:space="preserve">om </w:t>
            </w:r>
            <w:r w:rsidR="00BA3072">
              <w:rPr>
                <w:bCs/>
                <w:sz w:val="22"/>
                <w:szCs w:val="22"/>
              </w:rPr>
              <w:t>å</w:t>
            </w:r>
            <w:r w:rsidR="00AA7D35">
              <w:rPr>
                <w:bCs/>
                <w:sz w:val="22"/>
                <w:szCs w:val="22"/>
              </w:rPr>
              <w:t xml:space="preserve"> sette opp </w:t>
            </w:r>
            <w:r>
              <w:rPr>
                <w:bCs/>
                <w:sz w:val="22"/>
                <w:szCs w:val="22"/>
              </w:rPr>
              <w:t xml:space="preserve">et </w:t>
            </w:r>
            <w:r w:rsidR="00A93C47" w:rsidRPr="003F2E81">
              <w:rPr>
                <w:bCs/>
                <w:sz w:val="22"/>
                <w:szCs w:val="22"/>
              </w:rPr>
              <w:t>fre</w:t>
            </w:r>
            <w:r w:rsidR="00F05AC4">
              <w:rPr>
                <w:bCs/>
                <w:sz w:val="22"/>
                <w:szCs w:val="22"/>
              </w:rPr>
              <w:t>mlegg til fagdirektør</w:t>
            </w:r>
            <w:r w:rsidR="006A0A74">
              <w:rPr>
                <w:bCs/>
                <w:sz w:val="22"/>
                <w:szCs w:val="22"/>
              </w:rPr>
              <w:t>er</w:t>
            </w:r>
            <w:r w:rsidR="003F4D55">
              <w:rPr>
                <w:bCs/>
                <w:sz w:val="22"/>
                <w:szCs w:val="22"/>
              </w:rPr>
              <w:t xml:space="preserve"> i RHF </w:t>
            </w:r>
            <w:r w:rsidR="008E30B0">
              <w:rPr>
                <w:bCs/>
                <w:sz w:val="22"/>
                <w:szCs w:val="22"/>
              </w:rPr>
              <w:t>med vektlegging</w:t>
            </w:r>
            <w:r w:rsidR="009F7E63">
              <w:rPr>
                <w:bCs/>
                <w:sz w:val="22"/>
                <w:szCs w:val="22"/>
              </w:rPr>
              <w:t xml:space="preserve"> på </w:t>
            </w:r>
            <w:r w:rsidR="003F4D55">
              <w:rPr>
                <w:bCs/>
                <w:sz w:val="22"/>
                <w:szCs w:val="22"/>
              </w:rPr>
              <w:t xml:space="preserve">den </w:t>
            </w:r>
            <w:r w:rsidR="009F7E63">
              <w:rPr>
                <w:bCs/>
                <w:sz w:val="22"/>
                <w:szCs w:val="22"/>
              </w:rPr>
              <w:t>samfunnseffekt</w:t>
            </w:r>
            <w:r w:rsidR="00A93C47" w:rsidRPr="003F2E81">
              <w:rPr>
                <w:bCs/>
                <w:sz w:val="22"/>
                <w:szCs w:val="22"/>
              </w:rPr>
              <w:t xml:space="preserve"> </w:t>
            </w:r>
            <w:r w:rsidR="006A0A74">
              <w:rPr>
                <w:bCs/>
                <w:sz w:val="22"/>
                <w:szCs w:val="22"/>
              </w:rPr>
              <w:t xml:space="preserve">som </w:t>
            </w:r>
            <w:r w:rsidR="003F4D55">
              <w:rPr>
                <w:bCs/>
                <w:sz w:val="22"/>
                <w:szCs w:val="22"/>
              </w:rPr>
              <w:t>behandlingshjelpemidler utgjør.</w:t>
            </w:r>
          </w:p>
          <w:p w14:paraId="793877D7" w14:textId="37E51FA8" w:rsidR="00016115" w:rsidRDefault="00A93C47" w:rsidP="00016115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 w:rsidRPr="003F2E81">
              <w:rPr>
                <w:bCs/>
                <w:sz w:val="22"/>
                <w:szCs w:val="22"/>
              </w:rPr>
              <w:t xml:space="preserve">Dag og Elisabeth sa seg villig til å lage et forslag </w:t>
            </w:r>
            <w:r w:rsidR="00016115">
              <w:rPr>
                <w:bCs/>
                <w:sz w:val="22"/>
                <w:szCs w:val="22"/>
              </w:rPr>
              <w:t xml:space="preserve">om </w:t>
            </w:r>
            <w:r w:rsidR="00BA3072">
              <w:rPr>
                <w:bCs/>
                <w:sz w:val="22"/>
                <w:szCs w:val="22"/>
              </w:rPr>
              <w:t>«</w:t>
            </w:r>
            <w:r w:rsidRPr="003F2E81">
              <w:rPr>
                <w:bCs/>
                <w:sz w:val="22"/>
                <w:szCs w:val="22"/>
              </w:rPr>
              <w:t>forskning på effekt av b</w:t>
            </w:r>
            <w:r w:rsidR="00016115">
              <w:rPr>
                <w:bCs/>
                <w:sz w:val="22"/>
                <w:szCs w:val="22"/>
              </w:rPr>
              <w:t>ehandlingshjelpemidler</w:t>
            </w:r>
            <w:r w:rsidR="00BA3072">
              <w:rPr>
                <w:bCs/>
                <w:sz w:val="22"/>
                <w:szCs w:val="22"/>
              </w:rPr>
              <w:t>»</w:t>
            </w:r>
            <w:r w:rsidRPr="003F2E81">
              <w:rPr>
                <w:bCs/>
                <w:sz w:val="22"/>
                <w:szCs w:val="22"/>
              </w:rPr>
              <w:t xml:space="preserve"> på individ</w:t>
            </w:r>
            <w:r w:rsidR="00016115">
              <w:rPr>
                <w:bCs/>
                <w:sz w:val="22"/>
                <w:szCs w:val="22"/>
              </w:rPr>
              <w:t xml:space="preserve">- </w:t>
            </w:r>
            <w:r w:rsidRPr="003F2E81">
              <w:rPr>
                <w:bCs/>
                <w:sz w:val="22"/>
                <w:szCs w:val="22"/>
              </w:rPr>
              <w:t xml:space="preserve"> og samfunnsnivå</w:t>
            </w:r>
            <w:r w:rsidR="00016115">
              <w:rPr>
                <w:bCs/>
                <w:sz w:val="22"/>
                <w:szCs w:val="22"/>
              </w:rPr>
              <w:t xml:space="preserve">. </w:t>
            </w:r>
            <w:r w:rsidR="00371377">
              <w:rPr>
                <w:bCs/>
                <w:sz w:val="22"/>
                <w:szCs w:val="22"/>
              </w:rPr>
              <w:t>Ser også på</w:t>
            </w:r>
            <w:r w:rsidRPr="003F2E81">
              <w:rPr>
                <w:bCs/>
                <w:sz w:val="22"/>
                <w:szCs w:val="22"/>
              </w:rPr>
              <w:t xml:space="preserve"> kostnytten av dette. </w:t>
            </w:r>
          </w:p>
          <w:p w14:paraId="065A69DF" w14:textId="0B897406" w:rsidR="009B1FDA" w:rsidRPr="004A5DD6" w:rsidRDefault="00C56A94" w:rsidP="00C56A94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Det ble stilt spørsmål i møte om det kan settes fokus på </w:t>
            </w:r>
            <w:r w:rsidR="00A93C47" w:rsidRPr="003F2E81">
              <w:rPr>
                <w:bCs/>
                <w:sz w:val="22"/>
                <w:szCs w:val="22"/>
              </w:rPr>
              <w:t xml:space="preserve">en problemstilling </w:t>
            </w:r>
            <w:r w:rsidR="00B24009">
              <w:rPr>
                <w:bCs/>
                <w:sz w:val="22"/>
                <w:szCs w:val="22"/>
              </w:rPr>
              <w:t xml:space="preserve">eller </w:t>
            </w:r>
            <w:r w:rsidR="00A93C47" w:rsidRPr="003F2E81">
              <w:rPr>
                <w:bCs/>
                <w:sz w:val="22"/>
                <w:szCs w:val="22"/>
              </w:rPr>
              <w:t xml:space="preserve">en </w:t>
            </w:r>
            <w:r w:rsidR="00016115">
              <w:rPr>
                <w:bCs/>
                <w:sz w:val="22"/>
                <w:szCs w:val="22"/>
              </w:rPr>
              <w:t>«</w:t>
            </w:r>
            <w:r w:rsidR="00A93C47" w:rsidRPr="003F2E81">
              <w:rPr>
                <w:bCs/>
                <w:sz w:val="22"/>
                <w:szCs w:val="22"/>
              </w:rPr>
              <w:t>pasientcase</w:t>
            </w:r>
            <w:r w:rsidR="00016115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2F35EA">
              <w:rPr>
                <w:bCs/>
                <w:sz w:val="22"/>
                <w:szCs w:val="22"/>
              </w:rPr>
              <w:t>eventuelt ha</w:t>
            </w:r>
            <w:r>
              <w:rPr>
                <w:bCs/>
                <w:sz w:val="22"/>
                <w:szCs w:val="22"/>
              </w:rPr>
              <w:t xml:space="preserve"> med </w:t>
            </w:r>
            <w:r w:rsidR="002F35EA">
              <w:rPr>
                <w:bCs/>
                <w:sz w:val="22"/>
                <w:szCs w:val="22"/>
              </w:rPr>
              <w:t xml:space="preserve">en helsestatiker </w:t>
            </w:r>
            <w:r>
              <w:rPr>
                <w:bCs/>
                <w:sz w:val="22"/>
                <w:szCs w:val="22"/>
              </w:rPr>
              <w:t>på neste NNB-møte</w:t>
            </w:r>
            <w:r w:rsidR="00A93C47" w:rsidRPr="003F2E81">
              <w:rPr>
                <w:bCs/>
                <w:sz w:val="22"/>
                <w:szCs w:val="22"/>
              </w:rPr>
              <w:t xml:space="preserve">? </w:t>
            </w:r>
          </w:p>
        </w:tc>
      </w:tr>
      <w:tr w:rsidR="00BB218C" w:rsidRPr="003D535B" w14:paraId="6E138AE7" w14:textId="77777777" w:rsidTr="007650BB">
        <w:trPr>
          <w:cantSplit/>
          <w:trHeight w:val="444"/>
        </w:trPr>
        <w:tc>
          <w:tcPr>
            <w:tcW w:w="495" w:type="pct"/>
            <w:shd w:val="clear" w:color="auto" w:fill="FFFFFF"/>
          </w:tcPr>
          <w:p w14:paraId="66462A8C" w14:textId="77777777" w:rsidR="00BB218C" w:rsidRPr="00B83884" w:rsidRDefault="0051702C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44768" w:rsidRPr="00AD4B23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5" w:type="pct"/>
            <w:shd w:val="clear" w:color="auto" w:fill="FFFFFF"/>
          </w:tcPr>
          <w:p w14:paraId="2CDB247D" w14:textId="77777777" w:rsidR="00BB218C" w:rsidRPr="0051702C" w:rsidRDefault="0051702C" w:rsidP="00432176">
            <w:pPr>
              <w:spacing w:before="120" w:after="120"/>
              <w:ind w:right="-142"/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2" w:name="OLE_LINK5"/>
            <w:r>
              <w:rPr>
                <w:rFonts w:ascii="Garamond" w:hAnsi="Garamond"/>
                <w:b/>
                <w:bCs/>
                <w:sz w:val="22"/>
                <w:szCs w:val="22"/>
              </w:rPr>
              <w:t>Videre informasjon fra møte i Helsedirektoratet «Med</w:t>
            </w:r>
            <w:r w:rsidR="00432176">
              <w:rPr>
                <w:rFonts w:ascii="Garamond" w:hAnsi="Garamond"/>
                <w:b/>
                <w:bCs/>
                <w:sz w:val="22"/>
                <w:szCs w:val="22"/>
              </w:rPr>
              <w:t xml:space="preserve">isinsk utstyr – prinsipper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for avklaring av finansiering»</w:t>
            </w:r>
            <w:bookmarkEnd w:id="2"/>
          </w:p>
        </w:tc>
      </w:tr>
      <w:tr w:rsidR="00BB218C" w:rsidRPr="003D535B" w14:paraId="1B5FE977" w14:textId="77777777" w:rsidTr="007650BB">
        <w:tc>
          <w:tcPr>
            <w:tcW w:w="495" w:type="pct"/>
            <w:shd w:val="clear" w:color="auto" w:fill="FFFFFF"/>
          </w:tcPr>
          <w:p w14:paraId="7EC4A24C" w14:textId="77777777" w:rsidR="00BB218C" w:rsidRDefault="00BB218C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  <w:p w14:paraId="58932A7B" w14:textId="77777777" w:rsidR="00836EE6" w:rsidRDefault="00836EE6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5" w:type="pct"/>
            <w:shd w:val="clear" w:color="auto" w:fill="FFFFFF"/>
          </w:tcPr>
          <w:p w14:paraId="20D187AD" w14:textId="7C429650" w:rsidR="003F2E81" w:rsidRPr="00016115" w:rsidRDefault="005F60CD" w:rsidP="00016115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NNB har nå</w:t>
            </w:r>
            <w:r w:rsidR="00894B98">
              <w:rPr>
                <w:bCs/>
                <w:sz w:val="22"/>
                <w:szCs w:val="22"/>
              </w:rPr>
              <w:t xml:space="preserve"> </w:t>
            </w:r>
            <w:r w:rsidR="008D28A2">
              <w:rPr>
                <w:bCs/>
                <w:sz w:val="22"/>
                <w:szCs w:val="22"/>
              </w:rPr>
              <w:t>mottatt</w:t>
            </w:r>
            <w:r w:rsidR="00016115" w:rsidRPr="00016115">
              <w:rPr>
                <w:bCs/>
                <w:sz w:val="22"/>
                <w:szCs w:val="22"/>
              </w:rPr>
              <w:t xml:space="preserve"> </w:t>
            </w:r>
            <w:r w:rsidR="00655158">
              <w:rPr>
                <w:bCs/>
                <w:sz w:val="22"/>
                <w:szCs w:val="22"/>
              </w:rPr>
              <w:t xml:space="preserve">høringsrapport </w:t>
            </w:r>
            <w:r w:rsidR="00016115" w:rsidRPr="00016115">
              <w:rPr>
                <w:bCs/>
                <w:sz w:val="22"/>
                <w:szCs w:val="22"/>
              </w:rPr>
              <w:t>«</w:t>
            </w:r>
            <w:r w:rsidR="00016115">
              <w:rPr>
                <w:bCs/>
                <w:sz w:val="22"/>
                <w:szCs w:val="22"/>
              </w:rPr>
              <w:t>R</w:t>
            </w:r>
            <w:r w:rsidR="003F2E81" w:rsidRPr="00016115">
              <w:rPr>
                <w:bCs/>
                <w:sz w:val="22"/>
                <w:szCs w:val="22"/>
              </w:rPr>
              <w:t>apport</w:t>
            </w:r>
            <w:r w:rsidR="00016115">
              <w:rPr>
                <w:bCs/>
                <w:sz w:val="22"/>
                <w:szCs w:val="22"/>
              </w:rPr>
              <w:t xml:space="preserve"> medisinsk utstyr- F</w:t>
            </w:r>
            <w:r w:rsidR="003F2E81" w:rsidRPr="00016115">
              <w:rPr>
                <w:bCs/>
                <w:sz w:val="22"/>
                <w:szCs w:val="22"/>
              </w:rPr>
              <w:t>ordeling av finansieringsansvar</w:t>
            </w:r>
            <w:r w:rsidR="00655158">
              <w:rPr>
                <w:bCs/>
                <w:sz w:val="22"/>
                <w:szCs w:val="22"/>
              </w:rPr>
              <w:t xml:space="preserve"> fra</w:t>
            </w:r>
            <w:r w:rsidR="00016115">
              <w:rPr>
                <w:bCs/>
                <w:sz w:val="22"/>
                <w:szCs w:val="22"/>
              </w:rPr>
              <w:t xml:space="preserve"> </w:t>
            </w:r>
            <w:r w:rsidR="00C81C22">
              <w:rPr>
                <w:bCs/>
                <w:sz w:val="22"/>
                <w:szCs w:val="22"/>
              </w:rPr>
              <w:t>H</w:t>
            </w:r>
            <w:r w:rsidR="00655158">
              <w:rPr>
                <w:bCs/>
                <w:sz w:val="22"/>
                <w:szCs w:val="22"/>
              </w:rPr>
              <w:t>elsedirektoratet som</w:t>
            </w:r>
            <w:r w:rsidR="00C81C22">
              <w:rPr>
                <w:bCs/>
                <w:sz w:val="22"/>
                <w:szCs w:val="22"/>
              </w:rPr>
              <w:t xml:space="preserve"> ønsker innspill til rapport med svarfrist 3. </w:t>
            </w:r>
            <w:r w:rsidR="00B24009">
              <w:rPr>
                <w:bCs/>
                <w:sz w:val="22"/>
                <w:szCs w:val="22"/>
              </w:rPr>
              <w:t xml:space="preserve">april. </w:t>
            </w:r>
            <w:bookmarkStart w:id="3" w:name="_GoBack"/>
            <w:bookmarkEnd w:id="3"/>
          </w:p>
          <w:p w14:paraId="214ECD45" w14:textId="77777777" w:rsidR="00B84014" w:rsidRDefault="003746C3" w:rsidP="00016115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Gunn presenterte rapporten.</w:t>
            </w:r>
            <w:r w:rsidR="00B84014">
              <w:rPr>
                <w:bCs/>
                <w:sz w:val="22"/>
                <w:szCs w:val="22"/>
              </w:rPr>
              <w:t xml:space="preserve"> «</w:t>
            </w:r>
            <w:r w:rsidR="00655158" w:rsidRPr="00655158">
              <w:rPr>
                <w:bCs/>
                <w:sz w:val="22"/>
                <w:szCs w:val="22"/>
              </w:rPr>
              <w:t>Arbeidsgruppen anbefaler bruk av kla</w:t>
            </w:r>
            <w:r w:rsidR="001E4544">
              <w:rPr>
                <w:bCs/>
                <w:sz w:val="22"/>
                <w:szCs w:val="22"/>
              </w:rPr>
              <w:t>re predefinert</w:t>
            </w:r>
            <w:r w:rsidR="00655158" w:rsidRPr="00655158">
              <w:rPr>
                <w:bCs/>
                <w:sz w:val="22"/>
                <w:szCs w:val="22"/>
              </w:rPr>
              <w:t xml:space="preserve"> kriterier til å beslutte om finansieringsansvaret </w:t>
            </w:r>
            <w:r w:rsidR="00B84014" w:rsidRPr="00655158">
              <w:rPr>
                <w:bCs/>
                <w:sz w:val="22"/>
                <w:szCs w:val="22"/>
              </w:rPr>
              <w:t xml:space="preserve">for </w:t>
            </w:r>
            <w:r w:rsidR="00B84014">
              <w:rPr>
                <w:bCs/>
                <w:sz w:val="22"/>
                <w:szCs w:val="22"/>
              </w:rPr>
              <w:t>en</w:t>
            </w:r>
            <w:r w:rsidR="00655158" w:rsidRPr="00655158">
              <w:rPr>
                <w:bCs/>
                <w:sz w:val="22"/>
                <w:szCs w:val="22"/>
              </w:rPr>
              <w:t xml:space="preserve"> type medisinsk utstyr skal ligge i spesia</w:t>
            </w:r>
            <w:r w:rsidR="00B13669">
              <w:rPr>
                <w:bCs/>
                <w:sz w:val="22"/>
                <w:szCs w:val="22"/>
              </w:rPr>
              <w:t xml:space="preserve">listhelsetjenesten eller ikke. </w:t>
            </w:r>
            <w:r w:rsidR="00655158" w:rsidRPr="00655158">
              <w:rPr>
                <w:bCs/>
                <w:sz w:val="22"/>
                <w:szCs w:val="22"/>
              </w:rPr>
              <w:t xml:space="preserve">Det er utarbeidet et sett med kriterier som kan anvendes til dette formål. Gruppen har tatt utgangspunkt i kriteriene som i dag brukes for å plassere finansieringsansvar for legemidler og omarbeidet disse slik at </w:t>
            </w:r>
            <w:r w:rsidR="00B13669">
              <w:rPr>
                <w:bCs/>
                <w:sz w:val="22"/>
                <w:szCs w:val="22"/>
              </w:rPr>
              <w:t xml:space="preserve">  </w:t>
            </w:r>
            <w:r w:rsidR="00655158" w:rsidRPr="00655158">
              <w:rPr>
                <w:bCs/>
                <w:sz w:val="22"/>
                <w:szCs w:val="22"/>
              </w:rPr>
              <w:t>de er egnet for å plassere finansieringsansvar for medisinsk utstyr til bruk utenfor sykehus.</w:t>
            </w:r>
            <w:r w:rsidR="00B84014">
              <w:rPr>
                <w:bCs/>
                <w:sz w:val="22"/>
                <w:szCs w:val="22"/>
              </w:rPr>
              <w:t>»</w:t>
            </w:r>
            <w:r w:rsidR="00655158" w:rsidRPr="00655158">
              <w:rPr>
                <w:bCs/>
                <w:sz w:val="22"/>
                <w:szCs w:val="22"/>
              </w:rPr>
              <w:t xml:space="preserve"> </w:t>
            </w:r>
            <w:r w:rsidR="00655158" w:rsidRPr="00655158">
              <w:rPr>
                <w:bCs/>
                <w:sz w:val="22"/>
                <w:szCs w:val="22"/>
              </w:rPr>
              <w:br/>
              <w:t xml:space="preserve">Finansieringsansvaret avklares før man beslutter om et medisinsk utstyr skal tas i bruk. </w:t>
            </w:r>
            <w:r w:rsidR="00655158" w:rsidRPr="00655158">
              <w:rPr>
                <w:bCs/>
                <w:sz w:val="22"/>
                <w:szCs w:val="22"/>
              </w:rPr>
              <w:br/>
            </w:r>
            <w:r w:rsidR="00B13669">
              <w:rPr>
                <w:bCs/>
                <w:sz w:val="22"/>
                <w:szCs w:val="22"/>
              </w:rPr>
              <w:t xml:space="preserve">Kriteriene som foreslås er: </w:t>
            </w:r>
            <w:r w:rsidR="00655158" w:rsidRPr="00655158">
              <w:rPr>
                <w:bCs/>
                <w:sz w:val="22"/>
                <w:szCs w:val="22"/>
              </w:rPr>
              <w:t>Spesialisthelsetjenesten har finansieringsansvaret for medisinsk utstyr i de tilfeller</w:t>
            </w:r>
            <w:r w:rsidR="00655158" w:rsidRPr="00655158">
              <w:rPr>
                <w:bCs/>
                <w:sz w:val="22"/>
                <w:szCs w:val="22"/>
              </w:rPr>
              <w:br/>
              <w:t xml:space="preserve">a) hvor utstyret og tilbehøret er nødvendig for pasientens behandling </w:t>
            </w:r>
            <w:r w:rsidR="00655158" w:rsidRPr="00655158">
              <w:rPr>
                <w:bCs/>
                <w:sz w:val="22"/>
                <w:szCs w:val="22"/>
              </w:rPr>
              <w:br/>
              <w:t xml:space="preserve">og </w:t>
            </w:r>
            <w:r w:rsidR="00655158" w:rsidRPr="00655158">
              <w:rPr>
                <w:bCs/>
                <w:sz w:val="22"/>
                <w:szCs w:val="22"/>
              </w:rPr>
              <w:br/>
              <w:t>b) der initiering, evaluering og avslutning av behandlingen</w:t>
            </w:r>
            <w:r w:rsidR="00745C77">
              <w:rPr>
                <w:b/>
                <w:bCs/>
                <w:sz w:val="22"/>
                <w:szCs w:val="22"/>
              </w:rPr>
              <w:t xml:space="preserve"> </w:t>
            </w:r>
            <w:r w:rsidR="00745C77" w:rsidRPr="00745C77">
              <w:rPr>
                <w:bCs/>
                <w:sz w:val="22"/>
                <w:szCs w:val="22"/>
              </w:rPr>
              <w:t>styres av lege i spesialisthelsetjenesten.</w:t>
            </w:r>
          </w:p>
          <w:p w14:paraId="6725863D" w14:textId="77777777" w:rsidR="00745C77" w:rsidRDefault="00745C77" w:rsidP="00016115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sz w:val="23"/>
                <w:szCs w:val="23"/>
              </w:rPr>
            </w:pPr>
            <w:r w:rsidRPr="002D5934">
              <w:rPr>
                <w:sz w:val="23"/>
                <w:szCs w:val="23"/>
              </w:rPr>
              <w:lastRenderedPageBreak/>
              <w:t xml:space="preserve">Arbeidsgruppen har laget en kartlegging som </w:t>
            </w:r>
            <w:r>
              <w:rPr>
                <w:sz w:val="23"/>
                <w:szCs w:val="23"/>
              </w:rPr>
              <w:t>av</w:t>
            </w:r>
            <w:r w:rsidRPr="002D5934">
              <w:rPr>
                <w:sz w:val="23"/>
                <w:szCs w:val="23"/>
              </w:rPr>
              <w:t xml:space="preserve">dekker gråsoneproblematikk </w:t>
            </w:r>
            <w:r>
              <w:rPr>
                <w:sz w:val="23"/>
                <w:szCs w:val="23"/>
              </w:rPr>
              <w:t>med hensyn til</w:t>
            </w:r>
            <w:r w:rsidRPr="002D5934">
              <w:rPr>
                <w:sz w:val="23"/>
                <w:szCs w:val="23"/>
              </w:rPr>
              <w:t xml:space="preserve"> finansieringsansvar mellom de ulike aktørene, inkludert mellom NAV og </w:t>
            </w:r>
            <w:r>
              <w:rPr>
                <w:sz w:val="23"/>
                <w:szCs w:val="23"/>
              </w:rPr>
              <w:t>RHF-ene</w:t>
            </w:r>
            <w:r w:rsidRPr="002D593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Se side 30.</w:t>
            </w:r>
          </w:p>
          <w:p w14:paraId="259BB884" w14:textId="77777777" w:rsidR="00862247" w:rsidRDefault="003A4584" w:rsidP="00862247">
            <w:pPr>
              <w:rPr>
                <w:sz w:val="23"/>
                <w:szCs w:val="23"/>
              </w:rPr>
            </w:pPr>
            <w:r w:rsidRPr="00DE2979">
              <w:rPr>
                <w:rFonts w:ascii="Garamond" w:hAnsi="Garamond"/>
                <w:sz w:val="23"/>
                <w:szCs w:val="23"/>
              </w:rPr>
              <w:t>Det anbefales</w:t>
            </w:r>
            <w:r w:rsidRPr="003A4584">
              <w:rPr>
                <w:rFonts w:ascii="Garamond" w:hAnsi="Garamond"/>
                <w:sz w:val="23"/>
                <w:szCs w:val="23"/>
              </w:rPr>
              <w:t xml:space="preserve"> en gjennomgang av etablerte produkter i dagens ordning for å plassere finansieringsansvaret mer i tråd med foreslåtte kriterier. I den forbindelse vil det kunne være aktuelt med budsjettoverføringer</w:t>
            </w:r>
            <w:r w:rsidRPr="00D36DD5">
              <w:rPr>
                <w:rFonts w:ascii="Roboto" w:eastAsia="Roboto" w:hAnsi="Roboto"/>
              </w:rPr>
              <w:t>.</w:t>
            </w:r>
            <w:r w:rsidR="00862247">
              <w:rPr>
                <w:sz w:val="23"/>
                <w:szCs w:val="23"/>
              </w:rPr>
              <w:t xml:space="preserve"> </w:t>
            </w:r>
          </w:p>
          <w:p w14:paraId="62025813" w14:textId="77777777" w:rsidR="003A4584" w:rsidRPr="00862247" w:rsidRDefault="00862247" w:rsidP="00862247">
            <w:pPr>
              <w:rPr>
                <w:rFonts w:ascii="Garamond" w:hAnsi="Garamond"/>
                <w:sz w:val="23"/>
                <w:szCs w:val="23"/>
              </w:rPr>
            </w:pPr>
            <w:r w:rsidRPr="00862247">
              <w:rPr>
                <w:rFonts w:ascii="Garamond" w:hAnsi="Garamond"/>
                <w:sz w:val="23"/>
                <w:szCs w:val="23"/>
              </w:rPr>
              <w:t xml:space="preserve">Helsedirektoratet anbefaler å ta i bruk kriterier som beskrevet i modell 4 i kapittel 5.3. Denne modellen er den eneste som medfører at finansieringsansvar følger behandleransvar. Ved etablering av nytt system for fordeling av finansieringsansvar anbefaler arbeidsgruppen at én aktør får ansvaret for å avklare finansieringsansvar for alt nytt medisinsk utstyr som er aktuelt å ta i bruk utenfor sykehus. Avklaringen skal gjøres basert på kriteriene som er foreslått, og på den måten vil man få et mer enhetlig og forutsigbart system enn det er i dag. </w:t>
            </w:r>
          </w:p>
          <w:p w14:paraId="0EF9AC9E" w14:textId="77777777" w:rsidR="001A5625" w:rsidRPr="00862247" w:rsidRDefault="00745C77" w:rsidP="00862247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sz w:val="23"/>
                <w:szCs w:val="23"/>
              </w:rPr>
            </w:pPr>
            <w:r w:rsidRPr="003A4584">
              <w:rPr>
                <w:sz w:val="23"/>
                <w:szCs w:val="23"/>
              </w:rPr>
              <w:t xml:space="preserve">NNB-medlemmer leser rapporten og gir eventuelle kommentarer til Gunn, Elisabeth eller Jon </w:t>
            </w:r>
            <w:r w:rsidR="003A4584">
              <w:rPr>
                <w:sz w:val="23"/>
                <w:szCs w:val="23"/>
              </w:rPr>
              <w:t xml:space="preserve">  </w:t>
            </w:r>
            <w:r w:rsidR="003A4584" w:rsidRPr="003A4584">
              <w:rPr>
                <w:sz w:val="23"/>
                <w:szCs w:val="23"/>
              </w:rPr>
              <w:t>innen 28.</w:t>
            </w:r>
            <w:r w:rsidRPr="003A4584">
              <w:rPr>
                <w:sz w:val="23"/>
                <w:szCs w:val="23"/>
              </w:rPr>
              <w:t xml:space="preserve"> mars.</w:t>
            </w:r>
            <w:r w:rsidR="003A4584" w:rsidRPr="003A4584">
              <w:rPr>
                <w:sz w:val="23"/>
                <w:szCs w:val="23"/>
              </w:rPr>
              <w:t xml:space="preserve"> </w:t>
            </w:r>
          </w:p>
        </w:tc>
      </w:tr>
      <w:tr w:rsidR="00BB218C" w:rsidRPr="003D535B" w14:paraId="71031790" w14:textId="77777777" w:rsidTr="007650BB">
        <w:tc>
          <w:tcPr>
            <w:tcW w:w="495" w:type="pct"/>
            <w:shd w:val="clear" w:color="auto" w:fill="FFFFFF"/>
          </w:tcPr>
          <w:p w14:paraId="498C3952" w14:textId="77777777" w:rsidR="00BB218C" w:rsidRDefault="001C167B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D44768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5" w:type="pct"/>
            <w:shd w:val="clear" w:color="auto" w:fill="FFFFFF"/>
          </w:tcPr>
          <w:p w14:paraId="237FD662" w14:textId="77777777" w:rsidR="001C167B" w:rsidRDefault="001C167B" w:rsidP="001C167B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Anskaffelsen: Insulinpumper, CGM og forbruksmateriell</w:t>
            </w:r>
          </w:p>
          <w:p w14:paraId="7A502E09" w14:textId="77777777" w:rsidR="00BB218C" w:rsidRPr="001C167B" w:rsidRDefault="001C167B" w:rsidP="00D158AD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Informasjon fra divisjonsdirektør Harald Johnsen Sykehusinnkjøp HF.(Skype)</w:t>
            </w:r>
          </w:p>
        </w:tc>
      </w:tr>
      <w:tr w:rsidR="00BB218C" w:rsidRPr="003D535B" w14:paraId="134EBD68" w14:textId="77777777" w:rsidTr="007650BB">
        <w:trPr>
          <w:trHeight w:val="645"/>
        </w:trPr>
        <w:tc>
          <w:tcPr>
            <w:tcW w:w="495" w:type="pct"/>
            <w:shd w:val="clear" w:color="auto" w:fill="FFFFFF"/>
          </w:tcPr>
          <w:p w14:paraId="1EABD8BD" w14:textId="77777777" w:rsidR="00BB218C" w:rsidRDefault="00BB218C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5" w:type="pct"/>
            <w:shd w:val="clear" w:color="auto" w:fill="FFFFFF"/>
          </w:tcPr>
          <w:p w14:paraId="41A69404" w14:textId="77777777" w:rsidR="00D071CA" w:rsidRDefault="00041B81" w:rsidP="00AB56CE">
            <w:pPr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Ny nasjonal avtale på insulinpumper, CGM og forbruksmateriell fra</w:t>
            </w:r>
            <w:r w:rsidR="007650BB">
              <w:rPr>
                <w:rFonts w:ascii="Garamond" w:hAnsi="Garamond"/>
                <w:bCs/>
                <w:sz w:val="22"/>
                <w:szCs w:val="22"/>
              </w:rPr>
              <w:t>: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12. mars til 30. april 2020 </w:t>
            </w:r>
            <w:r w:rsidR="00AB56CE">
              <w:rPr>
                <w:rFonts w:ascii="Garamond" w:hAnsi="Garamond"/>
                <w:bCs/>
                <w:sz w:val="22"/>
                <w:szCs w:val="22"/>
              </w:rPr>
              <w:t>med en</w:t>
            </w:r>
            <w:r w:rsidR="00206C64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sz w:val="22"/>
                <w:szCs w:val="22"/>
              </w:rPr>
              <w:t>mulig forlengelse ett å</w:t>
            </w:r>
            <w:r w:rsidR="00AB56CE">
              <w:rPr>
                <w:rFonts w:ascii="Garamond" w:hAnsi="Garamond"/>
                <w:bCs/>
                <w:sz w:val="22"/>
                <w:szCs w:val="22"/>
              </w:rPr>
              <w:t xml:space="preserve">r av gangen. </w:t>
            </w:r>
          </w:p>
          <w:p w14:paraId="2E8930A0" w14:textId="77777777" w:rsidR="00AB56CE" w:rsidRDefault="00AB56CE" w:rsidP="00AB56CE">
            <w:pPr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Utskriving av nye systemer vil være tilgjengelig fra 1. mai </w:t>
            </w:r>
            <w:r w:rsidR="00D071CA">
              <w:rPr>
                <w:rFonts w:ascii="Garamond" w:hAnsi="Garamond"/>
                <w:bCs/>
                <w:sz w:val="22"/>
                <w:szCs w:val="22"/>
              </w:rPr>
              <w:t>2019, mens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forbruksmateriell til alle eksisterende systemer vil være tilgjengelig umiddelbart fra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avtalestart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14:paraId="6E4EBDBF" w14:textId="77777777" w:rsidR="002F35EA" w:rsidRDefault="00E22FDC" w:rsidP="002F35EA">
            <w:pPr>
              <w:pStyle w:val="NormalWeb"/>
              <w:shd w:val="clear" w:color="auto" w:fill="FFFFFF"/>
              <w:spacing w:before="0" w:beforeAutospacing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Det er </w:t>
            </w:r>
            <w:r w:rsidR="006203C1">
              <w:rPr>
                <w:rFonts w:ascii="Garamond" w:hAnsi="Garamond"/>
                <w:bCs/>
                <w:sz w:val="22"/>
                <w:szCs w:val="22"/>
              </w:rPr>
              <w:t xml:space="preserve">nå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fokus på bytte av Animas Vibe pumper til Tandem </w:t>
            </w:r>
            <w:r w:rsidR="000552E1">
              <w:rPr>
                <w:rFonts w:ascii="Garamond" w:hAnsi="Garamond"/>
                <w:bCs/>
                <w:sz w:val="22"/>
                <w:szCs w:val="22"/>
              </w:rPr>
              <w:t>T: slim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X2 pumper. Det er lagt premisser for dette </w:t>
            </w:r>
            <w:r w:rsidR="00D071CA">
              <w:rPr>
                <w:rFonts w:ascii="Garamond" w:hAnsi="Garamond"/>
                <w:bCs/>
                <w:sz w:val="22"/>
                <w:szCs w:val="22"/>
              </w:rPr>
              <w:t>sammen med den enkelte klinikk og</w:t>
            </w:r>
            <w:r w:rsidR="006203C1">
              <w:rPr>
                <w:rFonts w:ascii="Garamond" w:hAnsi="Garamond"/>
                <w:bCs/>
                <w:sz w:val="22"/>
                <w:szCs w:val="22"/>
              </w:rPr>
              <w:t xml:space="preserve"> o</w:t>
            </w:r>
            <w:r w:rsidR="000552E1">
              <w:rPr>
                <w:rFonts w:ascii="Garamond" w:hAnsi="Garamond"/>
                <w:bCs/>
                <w:sz w:val="22"/>
                <w:szCs w:val="22"/>
              </w:rPr>
              <w:t xml:space="preserve">pplæring </w:t>
            </w:r>
            <w:r w:rsidR="00D071CA">
              <w:rPr>
                <w:rFonts w:ascii="Garamond" w:hAnsi="Garamond"/>
                <w:bCs/>
                <w:sz w:val="22"/>
                <w:szCs w:val="22"/>
              </w:rPr>
              <w:t xml:space="preserve">av Tandem </w:t>
            </w:r>
            <w:r w:rsidR="002F35EA">
              <w:rPr>
                <w:rFonts w:ascii="Garamond" w:hAnsi="Garamond"/>
                <w:bCs/>
                <w:sz w:val="22"/>
                <w:szCs w:val="22"/>
              </w:rPr>
              <w:t>T: slim</w:t>
            </w:r>
            <w:r w:rsidR="000552E1">
              <w:rPr>
                <w:rFonts w:ascii="Garamond" w:hAnsi="Garamond"/>
                <w:bCs/>
                <w:sz w:val="22"/>
                <w:szCs w:val="22"/>
              </w:rPr>
              <w:t xml:space="preserve"> vil bli </w:t>
            </w:r>
            <w:r w:rsidR="006203C1">
              <w:rPr>
                <w:rFonts w:ascii="Garamond" w:hAnsi="Garamond"/>
                <w:bCs/>
                <w:sz w:val="22"/>
                <w:szCs w:val="22"/>
              </w:rPr>
              <w:t>organisert.</w:t>
            </w:r>
            <w:r w:rsidR="006203C1" w:rsidRPr="00E22FDC">
              <w:rPr>
                <w:rFonts w:ascii="Garamond" w:hAnsi="Garamond"/>
                <w:bCs/>
                <w:sz w:val="22"/>
                <w:szCs w:val="22"/>
              </w:rPr>
              <w:t xml:space="preserve"> Dette</w:t>
            </w:r>
            <w:r w:rsidRPr="00E22FDC">
              <w:rPr>
                <w:rFonts w:ascii="Garamond" w:hAnsi="Garamond"/>
                <w:bCs/>
                <w:sz w:val="22"/>
                <w:szCs w:val="22"/>
              </w:rPr>
              <w:t xml:space="preserve"> er en avtale som er inngått før arbeidet ny rammeavtale for insulinpumper og CGM-system er ferdigstilt, for å finne en god løsning for pasientene som benytter de utgående Animas Vibe-insulinpumpene. Utskriving av pumper til pasienter som har annet utstyr i dag skal skje etter de nye rammeavtalene.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0552E1" w:rsidRPr="000552E1">
              <w:rPr>
                <w:rFonts w:ascii="Garamond" w:hAnsi="Garamond"/>
                <w:bCs/>
                <w:sz w:val="22"/>
                <w:szCs w:val="22"/>
              </w:rPr>
              <w:t>Det er et mål om at hoveddelen av Animas Vibe insulinpumper byttes ut i 2019, men at alle bytter er ferdig senest 1.april 2020.</w:t>
            </w:r>
            <w:r w:rsidR="000552E1">
              <w:rPr>
                <w:rFonts w:ascii="Garamond" w:hAnsi="Garamond"/>
                <w:bCs/>
                <w:sz w:val="22"/>
                <w:szCs w:val="22"/>
              </w:rPr>
              <w:t xml:space="preserve"> Rubin Medical støtter med ressurser til de HF som ønsker dette.</w:t>
            </w:r>
            <w:r w:rsidR="006203C1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0552E1" w:rsidRPr="000552E1">
              <w:rPr>
                <w:rFonts w:ascii="Garamond" w:hAnsi="Garamond"/>
                <w:bCs/>
                <w:sz w:val="22"/>
                <w:szCs w:val="22"/>
              </w:rPr>
              <w:t>Det understrekes at Rubin Medical AS i denne perioden fortsatt vil levere forbruksmateriel</w:t>
            </w:r>
            <w:r w:rsidR="000552E1">
              <w:rPr>
                <w:rFonts w:ascii="Garamond" w:hAnsi="Garamond"/>
                <w:bCs/>
                <w:sz w:val="22"/>
                <w:szCs w:val="22"/>
              </w:rPr>
              <w:t>l til Animas Vibe insulinpumper</w:t>
            </w:r>
            <w:r w:rsidR="002F35EA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DE0E7C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2C3AE5FB" w14:textId="77777777" w:rsidR="002F35EA" w:rsidRDefault="00BA4CB6" w:rsidP="002F35EA">
            <w:pPr>
              <w:pStyle w:val="NormalWeb"/>
              <w:shd w:val="clear" w:color="auto" w:fill="FFFFFF"/>
              <w:spacing w:before="0" w:beforeAutospacing="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Sykehusinnkjøp reiser rundt til de</w:t>
            </w:r>
            <w:r w:rsidR="006203C1">
              <w:rPr>
                <w:rFonts w:ascii="Garamond" w:hAnsi="Garamond"/>
                <w:bCs/>
                <w:sz w:val="22"/>
                <w:szCs w:val="22"/>
              </w:rPr>
              <w:t xml:space="preserve"> regionale </w:t>
            </w:r>
            <w:r w:rsidR="005546A0">
              <w:rPr>
                <w:rFonts w:ascii="Garamond" w:hAnsi="Garamond"/>
                <w:bCs/>
                <w:sz w:val="22"/>
                <w:szCs w:val="22"/>
              </w:rPr>
              <w:t>helseforetak</w:t>
            </w:r>
            <w:r w:rsidR="00D071CA">
              <w:rPr>
                <w:rFonts w:ascii="Garamond" w:hAnsi="Garamond"/>
                <w:bCs/>
                <w:sz w:val="22"/>
                <w:szCs w:val="22"/>
              </w:rPr>
              <w:t xml:space="preserve"> vedrørende</w:t>
            </w:r>
            <w:r w:rsidR="006203C1">
              <w:rPr>
                <w:rFonts w:ascii="Garamond" w:hAnsi="Garamond"/>
                <w:bCs/>
                <w:sz w:val="22"/>
                <w:szCs w:val="22"/>
              </w:rPr>
              <w:t xml:space="preserve"> implementering av ny </w:t>
            </w:r>
            <w:r w:rsidR="00D071CA">
              <w:rPr>
                <w:rFonts w:ascii="Garamond" w:hAnsi="Garamond"/>
                <w:bCs/>
                <w:sz w:val="22"/>
                <w:szCs w:val="22"/>
              </w:rPr>
              <w:t>avtale før</w:t>
            </w:r>
            <w:r w:rsidR="006203C1">
              <w:rPr>
                <w:rFonts w:ascii="Garamond" w:hAnsi="Garamond"/>
                <w:bCs/>
                <w:sz w:val="22"/>
                <w:szCs w:val="22"/>
              </w:rPr>
              <w:t xml:space="preserve"> 1. mai</w:t>
            </w:r>
            <w:r w:rsidR="00F663C8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14:paraId="67E690D2" w14:textId="4671CBC2" w:rsidR="00041B81" w:rsidRPr="009055DE" w:rsidRDefault="00F663C8" w:rsidP="00607B76">
            <w:pPr>
              <w:pStyle w:val="NormalWeb"/>
              <w:shd w:val="clear" w:color="auto" w:fill="FFFFFF"/>
              <w:spacing w:before="0" w:beforeAutospacing="0"/>
              <w:rPr>
                <w:rFonts w:ascii="Garamond" w:hAnsi="Garamond"/>
                <w:bCs/>
                <w:sz w:val="22"/>
                <w:szCs w:val="22"/>
              </w:rPr>
            </w:pPr>
            <w:r w:rsidRPr="00371377">
              <w:rPr>
                <w:rFonts w:ascii="Garamond" w:hAnsi="Garamond"/>
                <w:b/>
                <w:bCs/>
                <w:sz w:val="22"/>
                <w:szCs w:val="22"/>
              </w:rPr>
              <w:t>Sykehusinnkjøp nettside:</w:t>
            </w:r>
            <w:r w:rsidR="00607B7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hyperlink r:id="rId8" w:anchor="produkter-p%C3%A5-avtale" w:history="1">
              <w:r w:rsidR="007650BB" w:rsidRPr="007650BB">
                <w:rPr>
                  <w:rStyle w:val="Hyperkobling"/>
                  <w:rFonts w:ascii="Garamond" w:hAnsi="Garamond"/>
                  <w:sz w:val="22"/>
                  <w:szCs w:val="22"/>
                </w:rPr>
                <w:t>Nasjonale/avtaler/insulinpumper-</w:t>
              </w:r>
              <w:proofErr w:type="spellStart"/>
              <w:r w:rsidR="007650BB" w:rsidRPr="007650BB">
                <w:rPr>
                  <w:rStyle w:val="Hyperkobling"/>
                  <w:rFonts w:ascii="Garamond" w:hAnsi="Garamond"/>
                  <w:sz w:val="22"/>
                  <w:szCs w:val="22"/>
                </w:rPr>
                <w:t>cgm</w:t>
              </w:r>
              <w:proofErr w:type="spellEnd"/>
              <w:r w:rsidR="007650BB" w:rsidRPr="007650BB">
                <w:rPr>
                  <w:rStyle w:val="Hyperkobling"/>
                  <w:rFonts w:ascii="Garamond" w:hAnsi="Garamond"/>
                  <w:sz w:val="22"/>
                  <w:szCs w:val="22"/>
                </w:rPr>
                <w:t>-og-forbruksmateriell</w:t>
              </w:r>
            </w:hyperlink>
          </w:p>
        </w:tc>
      </w:tr>
      <w:tr w:rsidR="0016570D" w:rsidRPr="003D535B" w14:paraId="0315380E" w14:textId="77777777" w:rsidTr="007650BB">
        <w:trPr>
          <w:trHeight w:val="501"/>
        </w:trPr>
        <w:tc>
          <w:tcPr>
            <w:tcW w:w="495" w:type="pct"/>
            <w:shd w:val="clear" w:color="auto" w:fill="FFFFFF"/>
          </w:tcPr>
          <w:p w14:paraId="4EC4EE96" w14:textId="77777777" w:rsidR="0016570D" w:rsidRDefault="001C167B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bookmarkStart w:id="4" w:name="_Hlk5015756"/>
            <w:r>
              <w:rPr>
                <w:b/>
                <w:sz w:val="22"/>
                <w:szCs w:val="22"/>
              </w:rPr>
              <w:t>10</w:t>
            </w:r>
            <w:r w:rsidR="0016570D" w:rsidRPr="00E80B71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5" w:type="pct"/>
            <w:shd w:val="clear" w:color="auto" w:fill="FFFFFF"/>
          </w:tcPr>
          <w:p w14:paraId="7401C5FC" w14:textId="77777777" w:rsidR="0016570D" w:rsidRPr="00862247" w:rsidRDefault="001C167B" w:rsidP="008622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Nasjonalt seminar 2019</w:t>
            </w:r>
          </w:p>
        </w:tc>
      </w:tr>
      <w:tr w:rsidR="00E80B71" w:rsidRPr="003D535B" w14:paraId="2A4B59A3" w14:textId="77777777" w:rsidTr="007650BB">
        <w:trPr>
          <w:trHeight w:val="645"/>
        </w:trPr>
        <w:tc>
          <w:tcPr>
            <w:tcW w:w="495" w:type="pct"/>
            <w:shd w:val="clear" w:color="auto" w:fill="FFFFFF"/>
          </w:tcPr>
          <w:p w14:paraId="60142CF4" w14:textId="77777777" w:rsidR="00E80B71" w:rsidRPr="00E80B71" w:rsidRDefault="00E80B71" w:rsidP="00FD7DC9">
            <w:pPr>
              <w:spacing w:before="120" w:after="120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505" w:type="pct"/>
            <w:shd w:val="clear" w:color="auto" w:fill="FFFFFF"/>
          </w:tcPr>
          <w:p w14:paraId="010D6B82" w14:textId="77777777" w:rsidR="005252BD" w:rsidRDefault="00862247" w:rsidP="00862247">
            <w:pPr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Årets nasjonale seminar </w:t>
            </w:r>
            <w:r w:rsidR="007650BB">
              <w:rPr>
                <w:rFonts w:ascii="Garamond" w:hAnsi="Garamond"/>
                <w:bCs/>
                <w:sz w:val="22"/>
                <w:szCs w:val="22"/>
              </w:rPr>
              <w:t>blir den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13. og 14. november</w:t>
            </w:r>
            <w:r w:rsidR="00CF41E8">
              <w:rPr>
                <w:rFonts w:ascii="Garamond" w:hAnsi="Garamond"/>
                <w:bCs/>
                <w:sz w:val="22"/>
                <w:szCs w:val="22"/>
              </w:rPr>
              <w:t xml:space="preserve"> på Olavsgaard og i år er det 15 års jubileum.</w:t>
            </w:r>
          </w:p>
          <w:p w14:paraId="7AE1FCB1" w14:textId="67CBE2C0" w:rsidR="0075072D" w:rsidRDefault="00371377" w:rsidP="00862247">
            <w:pPr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I</w:t>
            </w:r>
            <w:r w:rsidR="005252BD">
              <w:rPr>
                <w:rFonts w:ascii="Garamond" w:hAnsi="Garamond"/>
                <w:bCs/>
                <w:sz w:val="22"/>
                <w:szCs w:val="22"/>
              </w:rPr>
              <w:t xml:space="preserve">nformasjon om </w:t>
            </w:r>
            <w:r w:rsidR="002F35EA">
              <w:rPr>
                <w:rFonts w:ascii="Garamond" w:hAnsi="Garamond"/>
                <w:bCs/>
                <w:sz w:val="22"/>
                <w:szCs w:val="22"/>
              </w:rPr>
              <w:t xml:space="preserve">dato er satt inn på nettsiden og at </w:t>
            </w:r>
            <w:r w:rsidR="005252BD">
              <w:rPr>
                <w:rFonts w:ascii="Garamond" w:hAnsi="Garamond"/>
                <w:bCs/>
                <w:sz w:val="22"/>
                <w:szCs w:val="22"/>
              </w:rPr>
              <w:t>pr</w:t>
            </w:r>
            <w:r w:rsidR="002F35EA">
              <w:rPr>
                <w:rFonts w:ascii="Garamond" w:hAnsi="Garamond"/>
                <w:bCs/>
                <w:sz w:val="22"/>
                <w:szCs w:val="22"/>
              </w:rPr>
              <w:t xml:space="preserve">ogram og påmelding kommer. </w:t>
            </w:r>
            <w:r w:rsidR="005252BD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86224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4AA8016C" w14:textId="77777777" w:rsidR="003B538A" w:rsidRPr="003746C3" w:rsidRDefault="005252BD" w:rsidP="005252BD">
            <w:pPr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I dagens møte ble det tatt opp noen forslag på tema som tas videre til programkomiteens elektroniske møte tirsdag 2. april.</w:t>
            </w:r>
          </w:p>
        </w:tc>
      </w:tr>
      <w:tr w:rsidR="00D865FC" w:rsidRPr="003D535B" w14:paraId="4588A1F5" w14:textId="77777777" w:rsidTr="007650BB">
        <w:trPr>
          <w:trHeight w:val="645"/>
        </w:trPr>
        <w:tc>
          <w:tcPr>
            <w:tcW w:w="495" w:type="pct"/>
            <w:shd w:val="clear" w:color="auto" w:fill="FFFFFF"/>
          </w:tcPr>
          <w:p w14:paraId="27BA8E0B" w14:textId="77777777" w:rsidR="00D865FC" w:rsidRPr="00E80B71" w:rsidRDefault="00D865FC" w:rsidP="00FD7DC9">
            <w:pPr>
              <w:spacing w:before="120" w:after="12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11-2019</w:t>
            </w:r>
          </w:p>
        </w:tc>
        <w:tc>
          <w:tcPr>
            <w:tcW w:w="4505" w:type="pct"/>
            <w:shd w:val="clear" w:color="auto" w:fill="FFFFFF"/>
          </w:tcPr>
          <w:p w14:paraId="3AE80EF1" w14:textId="77777777" w:rsidR="00D865FC" w:rsidRDefault="00D865FC" w:rsidP="00862247">
            <w:pPr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65FC">
              <w:rPr>
                <w:rFonts w:ascii="Garamond" w:hAnsi="Garamond"/>
                <w:b/>
                <w:bCs/>
                <w:sz w:val="22"/>
                <w:szCs w:val="22"/>
              </w:rPr>
              <w:t>Medusa</w:t>
            </w:r>
          </w:p>
          <w:p w14:paraId="7392104F" w14:textId="77777777" w:rsidR="00D865FC" w:rsidRPr="0094187D" w:rsidRDefault="00D865FC" w:rsidP="00862247">
            <w:pPr>
              <w:pStyle w:val="Listeavsnitt"/>
              <w:numPr>
                <w:ilvl w:val="0"/>
                <w:numId w:val="16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4187D">
              <w:rPr>
                <w:rFonts w:ascii="Garamond" w:hAnsi="Garamond"/>
                <w:b/>
                <w:bCs/>
                <w:sz w:val="22"/>
                <w:szCs w:val="22"/>
              </w:rPr>
              <w:t xml:space="preserve">Rapporter </w:t>
            </w:r>
          </w:p>
        </w:tc>
      </w:tr>
      <w:bookmarkEnd w:id="4"/>
      <w:tr w:rsidR="00BB218C" w:rsidRPr="003D535B" w14:paraId="384F803A" w14:textId="77777777" w:rsidTr="007650BB">
        <w:trPr>
          <w:trHeight w:val="412"/>
        </w:trPr>
        <w:tc>
          <w:tcPr>
            <w:tcW w:w="495" w:type="pct"/>
            <w:shd w:val="clear" w:color="auto" w:fill="FFFFFF"/>
          </w:tcPr>
          <w:p w14:paraId="25BA0634" w14:textId="77777777" w:rsidR="00BB218C" w:rsidRDefault="00BB218C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5" w:type="pct"/>
            <w:shd w:val="clear" w:color="auto" w:fill="FFFFFF"/>
          </w:tcPr>
          <w:p w14:paraId="6C8CB654" w14:textId="1F0A1CB6" w:rsidR="00B95CFD" w:rsidRDefault="00B13669" w:rsidP="00B13669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Det er vanskelig å få til felles rapporter</w:t>
            </w:r>
            <w:r w:rsidR="007145D4">
              <w:rPr>
                <w:bCs/>
                <w:sz w:val="22"/>
                <w:szCs w:val="22"/>
              </w:rPr>
              <w:t xml:space="preserve">. På gårsdagenes systemeierstyremøte </w:t>
            </w:r>
            <w:r w:rsidR="00284947">
              <w:rPr>
                <w:bCs/>
                <w:sz w:val="22"/>
                <w:szCs w:val="22"/>
              </w:rPr>
              <w:t>ble det</w:t>
            </w:r>
            <w:r w:rsidR="00F510D8">
              <w:rPr>
                <w:bCs/>
                <w:sz w:val="22"/>
                <w:szCs w:val="22"/>
              </w:rPr>
              <w:t xml:space="preserve"> o</w:t>
            </w:r>
            <w:r w:rsidR="00284947">
              <w:rPr>
                <w:bCs/>
                <w:sz w:val="22"/>
                <w:szCs w:val="22"/>
              </w:rPr>
              <w:t>ppfordret</w:t>
            </w:r>
            <w:r w:rsidR="00CF41E8">
              <w:rPr>
                <w:bCs/>
                <w:sz w:val="22"/>
                <w:szCs w:val="22"/>
              </w:rPr>
              <w:t xml:space="preserve"> </w:t>
            </w:r>
            <w:r w:rsidR="00284947">
              <w:rPr>
                <w:bCs/>
                <w:sz w:val="22"/>
                <w:szCs w:val="22"/>
              </w:rPr>
              <w:t>til</w:t>
            </w:r>
            <w:r w:rsidR="007145D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CF0994">
              <w:rPr>
                <w:bCs/>
                <w:sz w:val="22"/>
                <w:szCs w:val="22"/>
              </w:rPr>
              <w:t>å  lage</w:t>
            </w:r>
            <w:proofErr w:type="gramEnd"/>
            <w:r w:rsidR="00B95CFD">
              <w:rPr>
                <w:bCs/>
                <w:sz w:val="22"/>
                <w:szCs w:val="22"/>
              </w:rPr>
              <w:t xml:space="preserve"> </w:t>
            </w:r>
            <w:r w:rsidR="003F4D55">
              <w:rPr>
                <w:bCs/>
                <w:sz w:val="22"/>
                <w:szCs w:val="22"/>
              </w:rPr>
              <w:t xml:space="preserve">en </w:t>
            </w:r>
            <w:r w:rsidR="00B95CFD">
              <w:rPr>
                <w:bCs/>
                <w:sz w:val="22"/>
                <w:szCs w:val="22"/>
              </w:rPr>
              <w:t xml:space="preserve">liste over ønskede rapporter og ta det videre med </w:t>
            </w:r>
            <w:proofErr w:type="spellStart"/>
            <w:r w:rsidR="00B95CFD">
              <w:rPr>
                <w:bCs/>
                <w:sz w:val="22"/>
                <w:szCs w:val="22"/>
              </w:rPr>
              <w:t>SoftPro</w:t>
            </w:r>
            <w:proofErr w:type="spellEnd"/>
            <w:r w:rsidR="007145D4">
              <w:rPr>
                <w:bCs/>
                <w:sz w:val="22"/>
                <w:szCs w:val="22"/>
              </w:rPr>
              <w:t xml:space="preserve"> som ønsker en</w:t>
            </w:r>
            <w:r w:rsidR="00F510D8">
              <w:rPr>
                <w:bCs/>
                <w:sz w:val="22"/>
                <w:szCs w:val="22"/>
              </w:rPr>
              <w:t xml:space="preserve"> tydelig beskrivelse over hva som det er behov for. </w:t>
            </w:r>
          </w:p>
          <w:p w14:paraId="6D3BB29E" w14:textId="77777777" w:rsidR="007145D4" w:rsidRDefault="007145D4" w:rsidP="00B13669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Det blir viktig med en</w:t>
            </w:r>
            <w:r w:rsidR="00B95CFD">
              <w:rPr>
                <w:bCs/>
                <w:sz w:val="22"/>
                <w:szCs w:val="22"/>
              </w:rPr>
              <w:t xml:space="preserve"> representant fra BHM som fronter Medusa og stiller krav. </w:t>
            </w:r>
          </w:p>
          <w:p w14:paraId="26404C37" w14:textId="7467BA06" w:rsidR="00B13669" w:rsidRDefault="005F60CD" w:rsidP="00B13669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BHM har</w:t>
            </w:r>
            <w:r w:rsidR="00B95CFD">
              <w:rPr>
                <w:bCs/>
                <w:sz w:val="22"/>
                <w:szCs w:val="22"/>
              </w:rPr>
              <w:t xml:space="preserve"> mange strukturer og vi </w:t>
            </w:r>
            <w:r w:rsidR="00633381">
              <w:rPr>
                <w:bCs/>
                <w:sz w:val="22"/>
                <w:szCs w:val="22"/>
              </w:rPr>
              <w:t xml:space="preserve">må vite mer </w:t>
            </w:r>
            <w:r>
              <w:rPr>
                <w:bCs/>
                <w:sz w:val="22"/>
                <w:szCs w:val="22"/>
              </w:rPr>
              <w:t xml:space="preserve">hva vi </w:t>
            </w:r>
            <w:r w:rsidR="00633381">
              <w:rPr>
                <w:bCs/>
                <w:sz w:val="22"/>
                <w:szCs w:val="22"/>
              </w:rPr>
              <w:t xml:space="preserve">skal </w:t>
            </w:r>
            <w:r>
              <w:rPr>
                <w:bCs/>
                <w:sz w:val="22"/>
                <w:szCs w:val="22"/>
              </w:rPr>
              <w:t>etterspør</w:t>
            </w:r>
            <w:r w:rsidR="00633381">
              <w:rPr>
                <w:bCs/>
                <w:sz w:val="22"/>
                <w:szCs w:val="22"/>
              </w:rPr>
              <w:t>re</w:t>
            </w:r>
            <w:r>
              <w:rPr>
                <w:bCs/>
                <w:sz w:val="22"/>
                <w:szCs w:val="22"/>
              </w:rPr>
              <w:t xml:space="preserve">. NNB må </w:t>
            </w:r>
            <w:r w:rsidR="007145D4">
              <w:rPr>
                <w:bCs/>
                <w:sz w:val="22"/>
                <w:szCs w:val="22"/>
              </w:rPr>
              <w:t>beslutte nasjonale data og bli enige om implementering</w:t>
            </w:r>
            <w:r w:rsidR="00B95CFD">
              <w:rPr>
                <w:bCs/>
                <w:sz w:val="22"/>
                <w:szCs w:val="22"/>
              </w:rPr>
              <w:t xml:space="preserve">. Dag nevnte at vi må begynne med oss selv i egen database og så beslutte felles dataflyt. </w:t>
            </w:r>
          </w:p>
          <w:p w14:paraId="0BB8945A" w14:textId="6BDFDAA4" w:rsidR="00B13669" w:rsidRDefault="00B13669" w:rsidP="00B13669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Helse Nord tas det </w:t>
            </w:r>
            <w:r w:rsidR="00593115"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screenshot</w:t>
            </w:r>
            <w:proofErr w:type="spellEnd"/>
            <w:r w:rsidR="00593115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i hver endring de gjør i medusa</w:t>
            </w:r>
            <w:r w:rsidR="0037137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bilde og legger det som </w:t>
            </w:r>
            <w:proofErr w:type="gramStart"/>
            <w:r w:rsidR="00633381">
              <w:rPr>
                <w:bCs/>
                <w:sz w:val="22"/>
                <w:szCs w:val="22"/>
              </w:rPr>
              <w:t>veiledning  for</w:t>
            </w:r>
            <w:proofErr w:type="gramEnd"/>
            <w:r>
              <w:rPr>
                <w:bCs/>
                <w:sz w:val="22"/>
                <w:szCs w:val="22"/>
              </w:rPr>
              <w:t xml:space="preserve"> andre. Men dette er på medisinsk teknisk og ikke pasientbehandling. Det er et høyt brukergrensesnitt i Medusa så det er underlig at de ikke kan kobles til de navnene vi ser.</w:t>
            </w:r>
            <w:r w:rsidR="00CF0994">
              <w:rPr>
                <w:bCs/>
                <w:sz w:val="22"/>
                <w:szCs w:val="22"/>
              </w:rPr>
              <w:t xml:space="preserve"> Det sees</w:t>
            </w:r>
            <w:r w:rsidR="00633381">
              <w:rPr>
                <w:bCs/>
                <w:sz w:val="22"/>
                <w:szCs w:val="22"/>
              </w:rPr>
              <w:t xml:space="preserve"> på k</w:t>
            </w:r>
            <w:r w:rsidR="00B95CFD">
              <w:rPr>
                <w:bCs/>
                <w:sz w:val="22"/>
                <w:szCs w:val="22"/>
              </w:rPr>
              <w:t xml:space="preserve">rav om mer </w:t>
            </w:r>
            <w:r w:rsidR="00CF0994">
              <w:rPr>
                <w:bCs/>
                <w:sz w:val="22"/>
                <w:szCs w:val="22"/>
              </w:rPr>
              <w:t>«</w:t>
            </w:r>
            <w:r w:rsidR="00B95CFD">
              <w:rPr>
                <w:bCs/>
                <w:sz w:val="22"/>
                <w:szCs w:val="22"/>
              </w:rPr>
              <w:t>brukervennlighet</w:t>
            </w:r>
            <w:r w:rsidR="00CF0994">
              <w:rPr>
                <w:bCs/>
                <w:sz w:val="22"/>
                <w:szCs w:val="22"/>
              </w:rPr>
              <w:t>».</w:t>
            </w:r>
          </w:p>
          <w:p w14:paraId="43200747" w14:textId="77777777" w:rsidR="003F4D55" w:rsidRDefault="003F4D55" w:rsidP="003F4D55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Mandatet til systemeierstyre som en beslutnings- rådgivende rolle. Vi må bruke systemeierstyreavtalen.</w:t>
            </w:r>
          </w:p>
          <w:p w14:paraId="3EC40CAE" w14:textId="67853DCE" w:rsidR="003F4D55" w:rsidRDefault="003F4D55" w:rsidP="003F4D55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Jon sa at </w:t>
            </w:r>
            <w:r w:rsidR="00633381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klikking</w:t>
            </w:r>
            <w:r w:rsidR="00633381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er blitt bedre nå og det er et stort system. </w:t>
            </w:r>
          </w:p>
          <w:p w14:paraId="0227398B" w14:textId="77777777" w:rsidR="003F4D55" w:rsidRDefault="009F7E63" w:rsidP="003F4D55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proofErr w:type="spellStart"/>
            <w:r>
              <w:rPr>
                <w:bCs/>
                <w:sz w:val="22"/>
                <w:szCs w:val="22"/>
              </w:rPr>
              <w:t>Ahus</w:t>
            </w:r>
            <w:proofErr w:type="spellEnd"/>
            <w:r>
              <w:rPr>
                <w:bCs/>
                <w:sz w:val="22"/>
                <w:szCs w:val="22"/>
              </w:rPr>
              <w:t xml:space="preserve"> er det</w:t>
            </w:r>
            <w:r w:rsidR="003F4D55">
              <w:rPr>
                <w:bCs/>
                <w:sz w:val="22"/>
                <w:szCs w:val="22"/>
              </w:rPr>
              <w:t xml:space="preserve"> utfordringer på uttrekk av store data til </w:t>
            </w:r>
            <w:r w:rsidR="00EB66E2">
              <w:rPr>
                <w:bCs/>
                <w:sz w:val="22"/>
                <w:szCs w:val="22"/>
              </w:rPr>
              <w:t>Excel som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F4D55">
              <w:rPr>
                <w:bCs/>
                <w:sz w:val="22"/>
                <w:szCs w:val="22"/>
              </w:rPr>
              <w:t>det vil bli sett på en løsning.</w:t>
            </w:r>
          </w:p>
          <w:p w14:paraId="35D7442A" w14:textId="77777777" w:rsidR="003F4D55" w:rsidRDefault="003F4D55" w:rsidP="00B13669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RFH, etterlyste samarbeid med IKT i RHF. Det vil bli sett på hvordan samarbeide til å ta det videre til Forvaltningsrådet.</w:t>
            </w:r>
          </w:p>
          <w:p w14:paraId="1E5EE1B8" w14:textId="77777777" w:rsidR="00B13669" w:rsidRPr="006036A3" w:rsidRDefault="00D73D51" w:rsidP="00B13669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Dokumenter satt inn på M</w:t>
            </w:r>
            <w:r w:rsidR="00B13669">
              <w:rPr>
                <w:bCs/>
                <w:sz w:val="22"/>
                <w:szCs w:val="22"/>
              </w:rPr>
              <w:t xml:space="preserve">edusa Forvaltning </w:t>
            </w:r>
            <w:r w:rsidR="00B13669" w:rsidRPr="006036A3">
              <w:rPr>
                <w:b/>
                <w:bCs/>
                <w:sz w:val="22"/>
                <w:szCs w:val="22"/>
              </w:rPr>
              <w:t>26.februar 2019:</w:t>
            </w:r>
          </w:p>
          <w:p w14:paraId="39060DE3" w14:textId="77777777" w:rsidR="00B13669" w:rsidRPr="009F7E63" w:rsidRDefault="00E776D2" w:rsidP="009F7E63">
            <w:pPr>
              <w:pStyle w:val="Topptekst"/>
              <w:tabs>
                <w:tab w:val="left" w:pos="708"/>
              </w:tabs>
              <w:spacing w:before="120" w:after="120"/>
              <w:ind w:right="-140"/>
              <w:rPr>
                <w:bCs/>
                <w:sz w:val="22"/>
                <w:szCs w:val="22"/>
              </w:rPr>
            </w:pPr>
            <w:hyperlink r:id="rId9" w:history="1">
              <w:r w:rsidR="00D73D51" w:rsidRPr="00D73D51">
                <w:rPr>
                  <w:rStyle w:val="Hyperkobling"/>
                  <w:sz w:val="22"/>
                  <w:szCs w:val="22"/>
                </w:rPr>
                <w:t>https://kilden.sykehusene.no/display/MEDUSA/</w:t>
              </w:r>
            </w:hyperlink>
          </w:p>
        </w:tc>
      </w:tr>
      <w:tr w:rsidR="00BB218C" w:rsidRPr="003D535B" w14:paraId="036CF17E" w14:textId="77777777" w:rsidTr="007650BB">
        <w:trPr>
          <w:trHeight w:val="940"/>
        </w:trPr>
        <w:tc>
          <w:tcPr>
            <w:tcW w:w="495" w:type="pct"/>
            <w:shd w:val="clear" w:color="auto" w:fill="FFFFFF"/>
          </w:tcPr>
          <w:p w14:paraId="5CF704D7" w14:textId="77777777" w:rsidR="00BB218C" w:rsidRDefault="001C167B" w:rsidP="00FD7DC9">
            <w:pPr>
              <w:spacing w:before="120" w:after="120"/>
              <w:outlineLvl w:val="1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="00E44262" w:rsidRPr="00E44262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5" w:type="pct"/>
            <w:shd w:val="clear" w:color="auto" w:fill="FFFFFF"/>
          </w:tcPr>
          <w:p w14:paraId="0B8188CC" w14:textId="77777777" w:rsidR="000C5BEF" w:rsidRDefault="00520489" w:rsidP="000C5BEF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C6514">
              <w:rPr>
                <w:rFonts w:ascii="Garamond" w:hAnsi="Garamond"/>
                <w:b/>
                <w:bCs/>
                <w:sz w:val="22"/>
                <w:szCs w:val="22"/>
              </w:rPr>
              <w:t>Eventuelt</w:t>
            </w:r>
          </w:p>
          <w:p w14:paraId="0369A1AD" w14:textId="77777777" w:rsidR="00EB66E2" w:rsidRDefault="001C167B" w:rsidP="00EB66E2">
            <w:pPr>
              <w:pStyle w:val="Listeavsnitt"/>
              <w:numPr>
                <w:ilvl w:val="0"/>
                <w:numId w:val="18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C5BEF">
              <w:rPr>
                <w:rFonts w:ascii="Garamond" w:hAnsi="Garamond"/>
                <w:b/>
                <w:bCs/>
                <w:sz w:val="22"/>
                <w:szCs w:val="22"/>
              </w:rPr>
              <w:t>Erfaringer om tilsyn ved BHM v/Gunn</w:t>
            </w:r>
            <w:r w:rsidR="00635140" w:rsidRPr="000C5BEF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14:paraId="066C19BB" w14:textId="3F9B0391" w:rsidR="009346D5" w:rsidRPr="00EB66E2" w:rsidRDefault="008A44B4" w:rsidP="00EB66E2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B66E2">
              <w:rPr>
                <w:rFonts w:ascii="Garamond" w:hAnsi="Garamond"/>
                <w:bCs/>
                <w:sz w:val="22"/>
                <w:szCs w:val="22"/>
              </w:rPr>
              <w:t>BHM i Helse Bergen har m</w:t>
            </w:r>
            <w:r w:rsidR="007D7A8A" w:rsidRPr="00EB66E2">
              <w:rPr>
                <w:rFonts w:ascii="Garamond" w:hAnsi="Garamond"/>
                <w:bCs/>
                <w:sz w:val="22"/>
                <w:szCs w:val="22"/>
              </w:rPr>
              <w:t>ottatt</w:t>
            </w:r>
            <w:r w:rsidR="00F07E16" w:rsidRPr="00EB66E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7A10B8" w:rsidRPr="00EB66E2">
              <w:rPr>
                <w:rFonts w:ascii="Garamond" w:hAnsi="Garamond"/>
                <w:bCs/>
                <w:sz w:val="22"/>
                <w:szCs w:val="22"/>
              </w:rPr>
              <w:t>tilsynsrapport fra DSB.</w:t>
            </w:r>
            <w:r w:rsidR="00635140" w:rsidRPr="00EB66E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072351">
              <w:rPr>
                <w:rFonts w:ascii="Garamond" w:hAnsi="Garamond"/>
                <w:bCs/>
                <w:sz w:val="22"/>
                <w:szCs w:val="22"/>
              </w:rPr>
              <w:t>Tilsynsrapporten var</w:t>
            </w:r>
            <w:r w:rsidR="00F07E16">
              <w:rPr>
                <w:rFonts w:ascii="Garamond" w:hAnsi="Garamond"/>
                <w:bCs/>
                <w:sz w:val="22"/>
                <w:szCs w:val="22"/>
              </w:rPr>
              <w:t xml:space="preserve"> positiv når det gjaldt </w:t>
            </w:r>
            <w:r w:rsidR="00926981">
              <w:rPr>
                <w:rFonts w:ascii="Garamond" w:hAnsi="Garamond"/>
                <w:bCs/>
                <w:sz w:val="22"/>
                <w:szCs w:val="22"/>
              </w:rPr>
              <w:t xml:space="preserve">gode </w:t>
            </w:r>
            <w:r w:rsidR="00072351">
              <w:rPr>
                <w:rFonts w:ascii="Garamond" w:hAnsi="Garamond"/>
                <w:bCs/>
                <w:sz w:val="22"/>
                <w:szCs w:val="22"/>
              </w:rPr>
              <w:t>rutiner og</w:t>
            </w:r>
            <w:r w:rsidR="00F07E16">
              <w:rPr>
                <w:rFonts w:ascii="Garamond" w:hAnsi="Garamond"/>
                <w:bCs/>
                <w:sz w:val="22"/>
                <w:szCs w:val="22"/>
              </w:rPr>
              <w:t xml:space="preserve"> prosedyrer i seksjonen og samarbeid med de kliniske avdelinger. Det var </w:t>
            </w:r>
            <w:r w:rsidR="00926981">
              <w:rPr>
                <w:rFonts w:ascii="Garamond" w:hAnsi="Garamond"/>
                <w:bCs/>
                <w:sz w:val="22"/>
                <w:szCs w:val="22"/>
              </w:rPr>
              <w:t>ett avvik som gikk på samhandling mot k</w:t>
            </w:r>
            <w:r w:rsidR="00F07E16">
              <w:rPr>
                <w:rFonts w:ascii="Garamond" w:hAnsi="Garamond"/>
                <w:bCs/>
                <w:sz w:val="22"/>
                <w:szCs w:val="22"/>
              </w:rPr>
              <w:t xml:space="preserve">ommunene </w:t>
            </w:r>
            <w:r w:rsidR="00072351">
              <w:rPr>
                <w:rFonts w:ascii="Garamond" w:hAnsi="Garamond"/>
                <w:bCs/>
                <w:sz w:val="22"/>
                <w:szCs w:val="22"/>
              </w:rPr>
              <w:t>på opplæring</w:t>
            </w:r>
            <w:r w:rsidR="001B0E7C">
              <w:rPr>
                <w:rFonts w:ascii="Garamond" w:hAnsi="Garamond"/>
                <w:bCs/>
                <w:sz w:val="22"/>
                <w:szCs w:val="22"/>
              </w:rPr>
              <w:t xml:space="preserve"> av utstyr</w:t>
            </w:r>
            <w:r w:rsidR="00072351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14:paraId="7C23D107" w14:textId="77777777" w:rsidR="009F7E63" w:rsidRDefault="00F64385" w:rsidP="00AE660A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737"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I lovverket vektlegges </w:t>
            </w:r>
            <w:r w:rsidR="009346D5">
              <w:rPr>
                <w:rFonts w:ascii="Garamond" w:hAnsi="Garamond"/>
                <w:bCs/>
                <w:sz w:val="22"/>
                <w:szCs w:val="22"/>
              </w:rPr>
              <w:t xml:space="preserve">nødvendighet </w:t>
            </w:r>
            <w:r w:rsidR="009F7E63">
              <w:rPr>
                <w:rFonts w:ascii="Garamond" w:hAnsi="Garamond"/>
                <w:bCs/>
                <w:sz w:val="22"/>
                <w:szCs w:val="22"/>
              </w:rPr>
              <w:t xml:space="preserve">i </w:t>
            </w:r>
            <w:r w:rsidR="009346D5">
              <w:rPr>
                <w:rFonts w:ascii="Garamond" w:hAnsi="Garamond"/>
                <w:bCs/>
                <w:sz w:val="22"/>
                <w:szCs w:val="22"/>
              </w:rPr>
              <w:t>å fremlegge dokumentasjon på utstyr.</w:t>
            </w:r>
            <w:r w:rsidR="00072351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0516FF4B" w14:textId="77777777" w:rsidR="00F663C8" w:rsidRDefault="009F7E63" w:rsidP="006F56D6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737"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BHM er eier av</w:t>
            </w:r>
            <w:r w:rsidR="00F219E1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2C69FC">
              <w:rPr>
                <w:rFonts w:ascii="Garamond" w:hAnsi="Garamond"/>
                <w:bCs/>
                <w:sz w:val="22"/>
                <w:szCs w:val="22"/>
              </w:rPr>
              <w:t>utstyr og det kreves dokumentasjon på fremlegg av dokumenter</w:t>
            </w:r>
          </w:p>
          <w:p w14:paraId="5E4C9C90" w14:textId="346CFCF7" w:rsidR="0094187D" w:rsidRDefault="0094187D" w:rsidP="006F56D6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737" w:right="-140"/>
              <w:rPr>
                <w:rFonts w:ascii="Garamond" w:hAnsi="Garamond"/>
                <w:bCs/>
                <w:sz w:val="22"/>
                <w:szCs w:val="22"/>
              </w:rPr>
            </w:pPr>
          </w:p>
          <w:p w14:paraId="3C1F229E" w14:textId="77777777" w:rsidR="0094187D" w:rsidRDefault="00432176" w:rsidP="00F663C8">
            <w:pPr>
              <w:pStyle w:val="Listeavsnitt"/>
              <w:numPr>
                <w:ilvl w:val="0"/>
                <w:numId w:val="18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737F9">
              <w:rPr>
                <w:rFonts w:ascii="Garamond" w:hAnsi="Garamond"/>
                <w:b/>
                <w:bCs/>
                <w:sz w:val="22"/>
                <w:szCs w:val="22"/>
              </w:rPr>
              <w:t>Tydelig bestilling av oppgaver til teknologigruppen og arbeidsgruppen.</w:t>
            </w:r>
          </w:p>
          <w:p w14:paraId="117FED3B" w14:textId="77777777" w:rsidR="00C968B5" w:rsidRDefault="00AF19B8" w:rsidP="00EB66E2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4187D">
              <w:rPr>
                <w:rFonts w:ascii="Garamond" w:hAnsi="Garamond"/>
                <w:b/>
                <w:bCs/>
                <w:sz w:val="22"/>
                <w:szCs w:val="22"/>
              </w:rPr>
              <w:t>Teknologigruppen:</w:t>
            </w:r>
            <w:r w:rsidRPr="00EB66E2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EC6514" w:rsidRPr="00EB66E2">
              <w:rPr>
                <w:rFonts w:ascii="Garamond" w:hAnsi="Garamond"/>
                <w:bCs/>
                <w:sz w:val="22"/>
                <w:szCs w:val="22"/>
              </w:rPr>
              <w:t>se</w:t>
            </w:r>
            <w:r w:rsidR="009F7E63" w:rsidRPr="00EB66E2">
              <w:rPr>
                <w:rFonts w:ascii="Garamond" w:hAnsi="Garamond"/>
                <w:bCs/>
                <w:sz w:val="22"/>
                <w:szCs w:val="22"/>
              </w:rPr>
              <w:t>r</w:t>
            </w:r>
            <w:r w:rsidR="00EC6514" w:rsidRPr="00EB66E2">
              <w:rPr>
                <w:rFonts w:ascii="Garamond" w:hAnsi="Garamond"/>
                <w:bCs/>
                <w:sz w:val="22"/>
                <w:szCs w:val="22"/>
              </w:rPr>
              <w:t xml:space="preserve"> på de ulike tekniske løsninger for desinfeksjon av utstyr som finnes i </w:t>
            </w:r>
            <w:r w:rsidR="00AE660A" w:rsidRPr="00EB66E2">
              <w:rPr>
                <w:rFonts w:ascii="Garamond" w:hAnsi="Garamond"/>
                <w:bCs/>
                <w:sz w:val="22"/>
                <w:szCs w:val="22"/>
              </w:rPr>
              <w:t>dag, og</w:t>
            </w:r>
            <w:r w:rsidR="00EC6514" w:rsidRPr="00EB66E2">
              <w:rPr>
                <w:rFonts w:ascii="Garamond" w:hAnsi="Garamond"/>
                <w:bCs/>
                <w:sz w:val="22"/>
                <w:szCs w:val="22"/>
              </w:rPr>
              <w:t xml:space="preserve"> vurdere kvalitativt de ulike løsningene/produktene.</w:t>
            </w:r>
            <w:r w:rsidR="00EC6514" w:rsidRPr="00EB66E2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14:paraId="73BC9E23" w14:textId="77777777" w:rsidR="00C968B5" w:rsidRPr="00EB66E2" w:rsidRDefault="00EC6514" w:rsidP="00EB66E2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 w:rsidRPr="00AF19B8">
              <w:rPr>
                <w:rFonts w:ascii="Garamond" w:hAnsi="Garamond"/>
                <w:b/>
                <w:bCs/>
                <w:sz w:val="22"/>
                <w:szCs w:val="22"/>
              </w:rPr>
              <w:t>Arbeidsgruppen</w:t>
            </w:r>
            <w:r w:rsidR="00AF19B8" w:rsidRPr="00AF19B8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="00AF19B8" w:rsidRPr="00EB66E2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EB66E2">
              <w:rPr>
                <w:rFonts w:ascii="Garamond" w:hAnsi="Garamond"/>
                <w:bCs/>
                <w:sz w:val="22"/>
                <w:szCs w:val="22"/>
              </w:rPr>
              <w:t>se</w:t>
            </w:r>
            <w:r w:rsidR="009F7E63" w:rsidRPr="00EB66E2">
              <w:rPr>
                <w:rFonts w:ascii="Garamond" w:hAnsi="Garamond"/>
                <w:bCs/>
                <w:sz w:val="22"/>
                <w:szCs w:val="22"/>
              </w:rPr>
              <w:t>r</w:t>
            </w:r>
            <w:r w:rsidRPr="00EB66E2">
              <w:rPr>
                <w:rFonts w:ascii="Garamond" w:hAnsi="Garamond"/>
                <w:bCs/>
                <w:sz w:val="22"/>
                <w:szCs w:val="22"/>
              </w:rPr>
              <w:t xml:space="preserve"> på de ulike metodene for desinfeksjon av </w:t>
            </w:r>
            <w:r w:rsidR="00F510D8" w:rsidRPr="00EB66E2">
              <w:rPr>
                <w:rFonts w:ascii="Garamond" w:hAnsi="Garamond"/>
                <w:bCs/>
                <w:sz w:val="22"/>
                <w:szCs w:val="22"/>
              </w:rPr>
              <w:t xml:space="preserve">utstyr som finnes i dag, særlig </w:t>
            </w:r>
            <w:r w:rsidRPr="00EB66E2">
              <w:rPr>
                <w:rFonts w:ascii="Garamond" w:hAnsi="Garamond"/>
                <w:bCs/>
                <w:sz w:val="22"/>
                <w:szCs w:val="22"/>
              </w:rPr>
              <w:t>desinfeksjon med hydrogenperoksidtåke («</w:t>
            </w:r>
            <w:proofErr w:type="spellStart"/>
            <w:r w:rsidRPr="00EB66E2">
              <w:rPr>
                <w:rFonts w:ascii="Garamond" w:hAnsi="Garamond"/>
                <w:bCs/>
                <w:sz w:val="22"/>
                <w:szCs w:val="22"/>
              </w:rPr>
              <w:t>fogging</w:t>
            </w:r>
            <w:proofErr w:type="spellEnd"/>
            <w:r w:rsidRPr="00EB66E2">
              <w:rPr>
                <w:rFonts w:ascii="Garamond" w:hAnsi="Garamond"/>
                <w:bCs/>
                <w:sz w:val="22"/>
                <w:szCs w:val="22"/>
              </w:rPr>
              <w:t>»</w:t>
            </w:r>
            <w:r w:rsidR="00AF19B8" w:rsidRPr="00EB66E2">
              <w:rPr>
                <w:rFonts w:ascii="Garamond" w:hAnsi="Garamond"/>
                <w:bCs/>
                <w:sz w:val="22"/>
                <w:szCs w:val="22"/>
              </w:rPr>
              <w:t xml:space="preserve">). </w:t>
            </w:r>
          </w:p>
          <w:p w14:paraId="260B9D47" w14:textId="5FFA0AC6" w:rsidR="00EC6514" w:rsidRPr="00EB66E2" w:rsidRDefault="00EC6514" w:rsidP="00EB66E2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 w:rsidRPr="00EB66E2">
              <w:rPr>
                <w:rFonts w:ascii="Garamond" w:hAnsi="Garamond"/>
                <w:bCs/>
                <w:sz w:val="22"/>
                <w:szCs w:val="22"/>
              </w:rPr>
              <w:t xml:space="preserve">Formålet med undersøkelsen er å finne ut om </w:t>
            </w:r>
            <w:proofErr w:type="spellStart"/>
            <w:r w:rsidRPr="00EB66E2">
              <w:rPr>
                <w:rFonts w:ascii="Garamond" w:hAnsi="Garamond"/>
                <w:bCs/>
                <w:sz w:val="22"/>
                <w:szCs w:val="22"/>
              </w:rPr>
              <w:t>fogging</w:t>
            </w:r>
            <w:proofErr w:type="spellEnd"/>
            <w:r w:rsidRPr="00EB66E2">
              <w:rPr>
                <w:rFonts w:ascii="Garamond" w:hAnsi="Garamond"/>
                <w:bCs/>
                <w:sz w:val="22"/>
                <w:szCs w:val="22"/>
              </w:rPr>
              <w:t xml:space="preserve"> er en nødvendig desinfisering </w:t>
            </w:r>
            <w:r w:rsidR="00CF0994">
              <w:rPr>
                <w:rFonts w:ascii="Garamond" w:hAnsi="Garamond"/>
                <w:bCs/>
                <w:sz w:val="22"/>
                <w:szCs w:val="22"/>
              </w:rPr>
              <w:t>som reduserer sjansen for kryss-</w:t>
            </w:r>
            <w:r w:rsidRPr="00EB66E2">
              <w:rPr>
                <w:rFonts w:ascii="Garamond" w:hAnsi="Garamond"/>
                <w:bCs/>
                <w:sz w:val="22"/>
                <w:szCs w:val="22"/>
              </w:rPr>
              <w:t>smitte eller om det er en unødvendig kostnad som i verste fall gir en falsk trygghet.</w:t>
            </w:r>
          </w:p>
          <w:p w14:paraId="269D6A50" w14:textId="77777777" w:rsidR="00EC6514" w:rsidRPr="00EC6514" w:rsidRDefault="00EC6514" w:rsidP="00EB66E2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 w:rsidRPr="00EB66E2">
              <w:rPr>
                <w:rFonts w:ascii="Garamond" w:hAnsi="Garamond"/>
                <w:bCs/>
                <w:sz w:val="22"/>
                <w:szCs w:val="22"/>
              </w:rPr>
              <w:t>Samarbeid mellom gruppene er gunstig for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å få en mest mulig vurdering av dette. </w:t>
            </w:r>
          </w:p>
          <w:p w14:paraId="0004376A" w14:textId="45422007" w:rsidR="008550E7" w:rsidRPr="00F663C8" w:rsidRDefault="00EC6514" w:rsidP="00F663C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737" w:right="-140"/>
              <w:rPr>
                <w:rFonts w:ascii="Garamond" w:hAnsi="Garamond"/>
                <w:bCs/>
                <w:sz w:val="22"/>
                <w:szCs w:val="22"/>
              </w:rPr>
            </w:pPr>
            <w:r w:rsidRPr="00EC6514">
              <w:rPr>
                <w:rFonts w:ascii="Garamond" w:hAnsi="Garamond"/>
                <w:bCs/>
                <w:sz w:val="22"/>
                <w:szCs w:val="22"/>
              </w:rPr>
              <w:t xml:space="preserve">NNB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ønsker en tilbakemelding </w:t>
            </w:r>
            <w:r w:rsidRPr="00EC6514">
              <w:rPr>
                <w:rFonts w:ascii="Garamond" w:hAnsi="Garamond"/>
                <w:bCs/>
                <w:sz w:val="22"/>
                <w:szCs w:val="22"/>
              </w:rPr>
              <w:t xml:space="preserve">innen rimelig tid før </w:t>
            </w:r>
            <w:r w:rsidR="00C968B5">
              <w:rPr>
                <w:rFonts w:ascii="Garamond" w:hAnsi="Garamond"/>
                <w:bCs/>
                <w:sz w:val="22"/>
                <w:szCs w:val="22"/>
              </w:rPr>
              <w:t xml:space="preserve">det </w:t>
            </w:r>
            <w:r w:rsidRPr="00EC6514">
              <w:rPr>
                <w:rFonts w:ascii="Garamond" w:hAnsi="Garamond"/>
                <w:bCs/>
                <w:sz w:val="22"/>
                <w:szCs w:val="22"/>
              </w:rPr>
              <w:t>årlig</w:t>
            </w:r>
            <w:r w:rsidR="00C968B5">
              <w:rPr>
                <w:rFonts w:ascii="Garamond" w:hAnsi="Garamond"/>
                <w:bCs/>
                <w:sz w:val="22"/>
                <w:szCs w:val="22"/>
              </w:rPr>
              <w:t>e</w:t>
            </w:r>
            <w:r w:rsidRPr="00EC6514">
              <w:rPr>
                <w:rFonts w:ascii="Garamond" w:hAnsi="Garamond"/>
                <w:bCs/>
                <w:sz w:val="22"/>
                <w:szCs w:val="22"/>
              </w:rPr>
              <w:t xml:space="preserve"> se</w:t>
            </w:r>
            <w:r w:rsidR="00CF0994">
              <w:rPr>
                <w:rFonts w:ascii="Garamond" w:hAnsi="Garamond"/>
                <w:bCs/>
                <w:sz w:val="22"/>
                <w:szCs w:val="22"/>
              </w:rPr>
              <w:t xml:space="preserve">minar for BHM som avholdes 13. og 14. </w:t>
            </w:r>
            <w:r w:rsidRPr="00EC6514">
              <w:rPr>
                <w:rFonts w:ascii="Garamond" w:hAnsi="Garamond"/>
                <w:bCs/>
                <w:sz w:val="22"/>
                <w:szCs w:val="22"/>
              </w:rPr>
              <w:t xml:space="preserve"> november slik at vi kan planlegge et felles innlegg fra dere på seminaret </w:t>
            </w:r>
            <w:proofErr w:type="spellStart"/>
            <w:r w:rsidRPr="00EC6514">
              <w:rPr>
                <w:rFonts w:ascii="Garamond" w:hAnsi="Garamond"/>
                <w:bCs/>
                <w:sz w:val="22"/>
                <w:szCs w:val="22"/>
              </w:rPr>
              <w:t>evt</w:t>
            </w:r>
            <w:proofErr w:type="spellEnd"/>
            <w:r w:rsidRPr="00EC6514">
              <w:rPr>
                <w:rFonts w:ascii="Garamond" w:hAnsi="Garamond"/>
                <w:bCs/>
                <w:sz w:val="22"/>
                <w:szCs w:val="22"/>
              </w:rPr>
              <w:t xml:space="preserve"> om vi må utsette dette til en senere anledning</w:t>
            </w:r>
            <w:r w:rsidR="00B13669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14:paraId="4D0E41D8" w14:textId="77777777" w:rsidR="00D03A55" w:rsidRDefault="00D03A55" w:rsidP="00D03A55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CCE8166" w14:textId="05F61848" w:rsidR="004E4F21" w:rsidRPr="00603004" w:rsidRDefault="00432176" w:rsidP="008550E7">
            <w:pPr>
              <w:pStyle w:val="Listeavsnitt"/>
              <w:numPr>
                <w:ilvl w:val="0"/>
                <w:numId w:val="18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3004">
              <w:rPr>
                <w:rFonts w:ascii="Garamond" w:hAnsi="Garamond"/>
                <w:b/>
                <w:bCs/>
                <w:sz w:val="22"/>
                <w:szCs w:val="22"/>
              </w:rPr>
              <w:t xml:space="preserve">Håndtering av tilleggsavtale ved bytte av Animas Vibe til Tandem </w:t>
            </w:r>
            <w:proofErr w:type="gramStart"/>
            <w:r w:rsidR="003D0155" w:rsidRPr="00603004">
              <w:rPr>
                <w:rFonts w:ascii="Garamond" w:hAnsi="Garamond"/>
                <w:b/>
                <w:bCs/>
                <w:sz w:val="22"/>
                <w:szCs w:val="22"/>
              </w:rPr>
              <w:t>T:slim</w:t>
            </w:r>
            <w:proofErr w:type="gramEnd"/>
            <w:r w:rsidR="003D0155" w:rsidRPr="0060300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9346D5" w:rsidRPr="00603004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14:paraId="5947001E" w14:textId="77777777" w:rsidR="00F618E5" w:rsidRPr="00EB66E2" w:rsidRDefault="00F618E5" w:rsidP="00F219E1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737" w:right="-140"/>
              <w:rPr>
                <w:rFonts w:ascii="Garamond" w:hAnsi="Garamond"/>
                <w:bCs/>
                <w:sz w:val="22"/>
                <w:szCs w:val="22"/>
              </w:rPr>
            </w:pPr>
            <w:r w:rsidRPr="00EB66E2">
              <w:rPr>
                <w:rFonts w:ascii="Garamond" w:hAnsi="Garamond"/>
                <w:bCs/>
                <w:sz w:val="22"/>
                <w:szCs w:val="22"/>
              </w:rPr>
              <w:t>Se sak 9-2019</w:t>
            </w:r>
          </w:p>
          <w:p w14:paraId="13DC7357" w14:textId="77777777" w:rsidR="003D0155" w:rsidRPr="00EB66E2" w:rsidRDefault="003D0155" w:rsidP="00F618E5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</w:p>
          <w:p w14:paraId="6C094DEA" w14:textId="77777777" w:rsidR="00CF0994" w:rsidRPr="00CF0994" w:rsidRDefault="00432176" w:rsidP="00CF0994">
            <w:pPr>
              <w:pStyle w:val="Listeavsnitt"/>
              <w:numPr>
                <w:ilvl w:val="0"/>
                <w:numId w:val="18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663C8">
              <w:rPr>
                <w:rFonts w:ascii="Garamond" w:hAnsi="Garamond"/>
                <w:b/>
                <w:bCs/>
                <w:sz w:val="22"/>
                <w:szCs w:val="22"/>
              </w:rPr>
              <w:t xml:space="preserve">Apneskinner/søvnskinner </w:t>
            </w:r>
            <w:proofErr w:type="spellStart"/>
            <w:r w:rsidRPr="00F663C8">
              <w:rPr>
                <w:rFonts w:ascii="Garamond" w:hAnsi="Garamond"/>
                <w:b/>
                <w:bCs/>
                <w:sz w:val="22"/>
                <w:szCs w:val="22"/>
              </w:rPr>
              <w:t>mhp</w:t>
            </w:r>
            <w:proofErr w:type="spellEnd"/>
            <w:r w:rsidRPr="00F663C8">
              <w:rPr>
                <w:rFonts w:ascii="Garamond" w:hAnsi="Garamond"/>
                <w:b/>
                <w:bCs/>
                <w:sz w:val="22"/>
                <w:szCs w:val="22"/>
              </w:rPr>
              <w:t xml:space="preserve"> fritt behandlingsvalg</w:t>
            </w:r>
            <w:r w:rsidR="008E30B0" w:rsidRPr="00CF0994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1223B0F4" w14:textId="6FCE6686" w:rsidR="00CF0994" w:rsidRPr="00CF0994" w:rsidRDefault="008E30B0" w:rsidP="00CF0994">
            <w:pPr>
              <w:pStyle w:val="Listeavsnitt"/>
              <w:numPr>
                <w:ilvl w:val="0"/>
                <w:numId w:val="18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F0994">
              <w:rPr>
                <w:rFonts w:ascii="Garamond" w:hAnsi="Garamond"/>
                <w:bCs/>
                <w:sz w:val="22"/>
                <w:szCs w:val="22"/>
              </w:rPr>
              <w:t>Elisabeth</w:t>
            </w:r>
            <w:r w:rsidR="00F618E5" w:rsidRPr="00CF0994">
              <w:rPr>
                <w:rFonts w:ascii="Garamond" w:hAnsi="Garamond"/>
                <w:bCs/>
                <w:sz w:val="22"/>
                <w:szCs w:val="22"/>
              </w:rPr>
              <w:t xml:space="preserve"> har </w:t>
            </w:r>
            <w:r w:rsidR="003B538A" w:rsidRPr="00CF0994">
              <w:rPr>
                <w:rFonts w:ascii="Garamond" w:hAnsi="Garamond"/>
                <w:bCs/>
                <w:sz w:val="22"/>
                <w:szCs w:val="22"/>
              </w:rPr>
              <w:t xml:space="preserve">sendt spørsmål til </w:t>
            </w:r>
            <w:r w:rsidR="00F618E5" w:rsidRPr="00CF0994">
              <w:rPr>
                <w:rFonts w:ascii="Garamond" w:hAnsi="Garamond"/>
                <w:bCs/>
                <w:sz w:val="22"/>
                <w:szCs w:val="22"/>
              </w:rPr>
              <w:t xml:space="preserve">fylkesmannen </w:t>
            </w:r>
            <w:r w:rsidR="003B538A" w:rsidRPr="00CF0994">
              <w:rPr>
                <w:rFonts w:ascii="Garamond" w:hAnsi="Garamond"/>
                <w:bCs/>
                <w:sz w:val="22"/>
                <w:szCs w:val="22"/>
              </w:rPr>
              <w:t xml:space="preserve">for </w:t>
            </w:r>
            <w:r w:rsidR="00CF41E8" w:rsidRPr="00CF0994">
              <w:rPr>
                <w:rFonts w:ascii="Garamond" w:hAnsi="Garamond"/>
                <w:bCs/>
                <w:sz w:val="22"/>
                <w:szCs w:val="22"/>
              </w:rPr>
              <w:t>v</w:t>
            </w:r>
            <w:r w:rsidR="00F618E5" w:rsidRPr="00CF0994">
              <w:rPr>
                <w:rFonts w:ascii="Garamond" w:hAnsi="Garamond"/>
                <w:bCs/>
                <w:sz w:val="22"/>
                <w:szCs w:val="22"/>
              </w:rPr>
              <w:t>urdering av dette</w:t>
            </w:r>
            <w:r w:rsidR="00CF41E8" w:rsidRPr="00CF0994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CF0994">
              <w:rPr>
                <w:rFonts w:ascii="Garamond" w:hAnsi="Garamond"/>
                <w:bCs/>
                <w:sz w:val="22"/>
                <w:szCs w:val="22"/>
              </w:rPr>
              <w:t>og NNB orienteres om svaret.</w:t>
            </w:r>
          </w:p>
          <w:p w14:paraId="6D019974" w14:textId="51179E60" w:rsidR="008550E7" w:rsidRPr="00CF0994" w:rsidRDefault="00F618E5" w:rsidP="00CF0994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F0994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bookmarkStart w:id="5" w:name="OLE_LINK17"/>
            <w:bookmarkEnd w:id="5"/>
          </w:p>
          <w:p w14:paraId="7168D745" w14:textId="77777777" w:rsidR="008550E7" w:rsidRDefault="004E4F21" w:rsidP="008E30B0">
            <w:pPr>
              <w:pStyle w:val="Listeavsnitt"/>
              <w:numPr>
                <w:ilvl w:val="0"/>
                <w:numId w:val="9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«</w:t>
            </w:r>
            <w:r w:rsidR="00432176" w:rsidRPr="004E4F21">
              <w:rPr>
                <w:rFonts w:ascii="Garamond" w:hAnsi="Garamond"/>
                <w:b/>
                <w:bCs/>
                <w:sz w:val="22"/>
                <w:szCs w:val="22"/>
              </w:rPr>
              <w:t xml:space="preserve">Svare ut» på spørsmål satt inn på </w:t>
            </w:r>
            <w:r w:rsidR="001E4544" w:rsidRPr="004E4F21">
              <w:rPr>
                <w:rFonts w:ascii="Garamond" w:hAnsi="Garamond"/>
                <w:b/>
                <w:bCs/>
                <w:sz w:val="22"/>
                <w:szCs w:val="22"/>
              </w:rPr>
              <w:t>Forum</w:t>
            </w:r>
            <w:r w:rsidR="001E4544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1E4544" w:rsidRPr="008E30B0">
              <w:rPr>
                <w:rFonts w:ascii="Garamond" w:hAnsi="Garamond"/>
                <w:bCs/>
                <w:sz w:val="22"/>
                <w:szCs w:val="22"/>
              </w:rPr>
              <w:t>Det</w:t>
            </w:r>
            <w:r w:rsidR="009346D5" w:rsidRPr="008E30B0">
              <w:rPr>
                <w:rFonts w:ascii="Garamond" w:hAnsi="Garamond"/>
                <w:bCs/>
                <w:sz w:val="22"/>
                <w:szCs w:val="22"/>
              </w:rPr>
              <w:t xml:space="preserve"> ble </w:t>
            </w:r>
            <w:r w:rsidR="00E40B32" w:rsidRPr="008E30B0">
              <w:rPr>
                <w:rFonts w:ascii="Garamond" w:hAnsi="Garamond"/>
                <w:bCs/>
                <w:sz w:val="22"/>
                <w:szCs w:val="22"/>
              </w:rPr>
              <w:t xml:space="preserve">presisert i </w:t>
            </w:r>
            <w:r w:rsidR="009346D5" w:rsidRPr="008E30B0">
              <w:rPr>
                <w:rFonts w:ascii="Garamond" w:hAnsi="Garamond"/>
                <w:bCs/>
                <w:sz w:val="22"/>
                <w:szCs w:val="22"/>
              </w:rPr>
              <w:t xml:space="preserve">møte </w:t>
            </w:r>
            <w:r w:rsidR="009F7E63" w:rsidRPr="008E30B0">
              <w:rPr>
                <w:rFonts w:ascii="Garamond" w:hAnsi="Garamond"/>
                <w:bCs/>
                <w:sz w:val="22"/>
                <w:szCs w:val="22"/>
              </w:rPr>
              <w:t xml:space="preserve">om å </w:t>
            </w:r>
            <w:r w:rsidR="009346D5" w:rsidRPr="008E30B0">
              <w:rPr>
                <w:rFonts w:ascii="Garamond" w:hAnsi="Garamond"/>
                <w:bCs/>
                <w:sz w:val="22"/>
                <w:szCs w:val="22"/>
              </w:rPr>
              <w:t xml:space="preserve">bli flinkere </w:t>
            </w:r>
            <w:r w:rsidR="00E40B32" w:rsidRPr="008E30B0">
              <w:rPr>
                <w:rFonts w:ascii="Garamond" w:hAnsi="Garamond"/>
                <w:bCs/>
                <w:sz w:val="22"/>
                <w:szCs w:val="22"/>
              </w:rPr>
              <w:t xml:space="preserve">til </w:t>
            </w:r>
            <w:r w:rsidR="009346D5" w:rsidRPr="008E30B0">
              <w:rPr>
                <w:rFonts w:ascii="Garamond" w:hAnsi="Garamond"/>
                <w:bCs/>
                <w:sz w:val="22"/>
                <w:szCs w:val="22"/>
              </w:rPr>
              <w:t>å svare</w:t>
            </w:r>
            <w:r w:rsidR="00E40B32" w:rsidRPr="008E30B0">
              <w:rPr>
                <w:rFonts w:ascii="Garamond" w:hAnsi="Garamond"/>
                <w:bCs/>
                <w:sz w:val="22"/>
                <w:szCs w:val="22"/>
              </w:rPr>
              <w:t>/gi tilbakemelding på</w:t>
            </w:r>
            <w:r w:rsidR="009346D5" w:rsidRPr="008E30B0">
              <w:rPr>
                <w:rFonts w:ascii="Garamond" w:hAnsi="Garamond"/>
                <w:bCs/>
                <w:sz w:val="22"/>
                <w:szCs w:val="22"/>
              </w:rPr>
              <w:t xml:space="preserve"> Forum</w:t>
            </w:r>
            <w:r w:rsidR="00E40B32" w:rsidRPr="008E30B0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14:paraId="5E177411" w14:textId="77777777" w:rsidR="008E30B0" w:rsidRPr="008E30B0" w:rsidRDefault="008E30B0" w:rsidP="00F663C8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</w:p>
          <w:p w14:paraId="44CC8FB6" w14:textId="77777777" w:rsidR="005E3688" w:rsidRDefault="00432176" w:rsidP="00EC6514">
            <w:pPr>
              <w:pStyle w:val="Listeavsnitt"/>
              <w:numPr>
                <w:ilvl w:val="0"/>
                <w:numId w:val="9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E4F21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Studietur for NNB.</w:t>
            </w:r>
            <w:r w:rsidR="00DE663F" w:rsidRPr="004E4F2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14:paraId="76B2034B" w14:textId="77777777" w:rsidR="009346D5" w:rsidRPr="009346D5" w:rsidRDefault="00E40B32" w:rsidP="00C968B5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737"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Kompetansefremmede midler med fokus på en ordentlig vurdering av saken. Valencia ble foreslått og Danmark. </w:t>
            </w:r>
            <w:r w:rsidR="002637B8">
              <w:rPr>
                <w:rFonts w:ascii="Garamond" w:hAnsi="Garamond"/>
                <w:bCs/>
                <w:sz w:val="22"/>
                <w:szCs w:val="22"/>
              </w:rPr>
              <w:t>Tas opp videre i NNB-møter.</w:t>
            </w:r>
          </w:p>
          <w:p w14:paraId="26354DB5" w14:textId="77777777" w:rsidR="008550E7" w:rsidRPr="00603004" w:rsidRDefault="008550E7" w:rsidP="00EB2784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</w:p>
          <w:p w14:paraId="65F2DD29" w14:textId="77777777" w:rsidR="00EB2784" w:rsidRPr="00EB2784" w:rsidRDefault="00EB2784" w:rsidP="00EB2784">
            <w:pPr>
              <w:pStyle w:val="Listeavsnitt"/>
              <w:numPr>
                <w:ilvl w:val="0"/>
                <w:numId w:val="9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B2784">
              <w:rPr>
                <w:rFonts w:ascii="Garamond" w:hAnsi="Garamond"/>
                <w:b/>
                <w:bCs/>
                <w:sz w:val="22"/>
                <w:szCs w:val="22"/>
              </w:rPr>
              <w:t>Arbeidstøy ved BHM-enheter.</w:t>
            </w:r>
          </w:p>
          <w:p w14:paraId="311B67E1" w14:textId="77777777" w:rsidR="00EC6514" w:rsidRPr="00F64385" w:rsidRDefault="006C6C1F" w:rsidP="00F663C8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I forhold til hygiene bør en se på en k</w:t>
            </w:r>
            <w:r w:rsidR="00EB2784">
              <w:rPr>
                <w:rFonts w:ascii="Garamond" w:hAnsi="Garamond"/>
                <w:bCs/>
                <w:sz w:val="22"/>
                <w:szCs w:val="22"/>
              </w:rPr>
              <w:t xml:space="preserve">artlegging av bruk av 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bekledning ved enheter i landet. Kan det være en arbeidsoppgave for Arbeidsgruppen. Ulik praksis i landet. Lager har som oftest arbeidstøy og verksted. Noen har egne logo? </w:t>
            </w:r>
          </w:p>
        </w:tc>
      </w:tr>
      <w:tr w:rsidR="00E44262" w:rsidRPr="003D535B" w14:paraId="427F6C7B" w14:textId="77777777" w:rsidTr="007650BB">
        <w:tc>
          <w:tcPr>
            <w:tcW w:w="495" w:type="pct"/>
            <w:shd w:val="clear" w:color="auto" w:fill="FFFFFF"/>
          </w:tcPr>
          <w:p w14:paraId="05791E95" w14:textId="77777777" w:rsidR="00E44262" w:rsidRPr="00E44262" w:rsidRDefault="00E44262" w:rsidP="00FD7DC9">
            <w:pPr>
              <w:spacing w:before="120" w:after="120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505" w:type="pct"/>
            <w:shd w:val="clear" w:color="auto" w:fill="FFFFFF"/>
          </w:tcPr>
          <w:p w14:paraId="1296E943" w14:textId="77777777" w:rsidR="00483913" w:rsidRPr="007A7612" w:rsidRDefault="00483913" w:rsidP="00432176">
            <w:pPr>
              <w:spacing w:before="120" w:after="120"/>
              <w:ind w:right="-14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8391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Neste møte: </w:t>
            </w:r>
            <w:r w:rsidR="0052048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NNB-møte </w:t>
            </w:r>
            <w:r w:rsidR="0043217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tirsdag 28</w:t>
            </w:r>
            <w:r w:rsidR="0052048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. mai</w:t>
            </w:r>
            <w:r w:rsidRPr="0048391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og </w:t>
            </w:r>
            <w:r w:rsidR="0052048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BHM </w:t>
            </w:r>
            <w:r w:rsidRPr="0048391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D406B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2048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leder</w:t>
            </w:r>
            <w:r w:rsidRPr="0048391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møte </w:t>
            </w:r>
            <w:r w:rsidR="0043217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29</w:t>
            </w:r>
            <w:r w:rsidR="0052048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. mai </w:t>
            </w:r>
            <w:r w:rsidRPr="0048391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på </w:t>
            </w:r>
            <w:r w:rsidR="0052048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Ullevål</w:t>
            </w:r>
            <w:r w:rsidRPr="0048391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D718CEB" w14:textId="77777777" w:rsidR="00BB218C" w:rsidRDefault="00BB218C"/>
    <w:sectPr w:rsidR="00BB21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EFC9" w14:textId="77777777" w:rsidR="002D729F" w:rsidRDefault="002D729F" w:rsidP="002D729F">
      <w:r>
        <w:separator/>
      </w:r>
    </w:p>
  </w:endnote>
  <w:endnote w:type="continuationSeparator" w:id="0">
    <w:p w14:paraId="64C1A37E" w14:textId="77777777" w:rsidR="002D729F" w:rsidRDefault="002D729F" w:rsidP="002D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F21BF" w14:textId="77777777" w:rsidR="002D729F" w:rsidRDefault="002D729F" w:rsidP="002D729F">
      <w:r>
        <w:separator/>
      </w:r>
    </w:p>
  </w:footnote>
  <w:footnote w:type="continuationSeparator" w:id="0">
    <w:p w14:paraId="3F8F27BA" w14:textId="77777777" w:rsidR="002D729F" w:rsidRDefault="002D729F" w:rsidP="002D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ECB8" w14:textId="77777777" w:rsidR="002D729F" w:rsidRDefault="002D729F" w:rsidP="002D729F">
    <w:pPr>
      <w:pStyle w:val="Topptekst"/>
      <w:tabs>
        <w:tab w:val="clear" w:pos="4536"/>
        <w:tab w:val="clear" w:pos="9072"/>
        <w:tab w:val="center" w:pos="4962"/>
        <w:tab w:val="right" w:pos="9214"/>
      </w:tabs>
      <w:ind w:left="4253"/>
      <w:jc w:val="center"/>
      <w:rPr>
        <w:rFonts w:asciiTheme="minorHAnsi" w:hAnsiTheme="minorHAnsi"/>
        <w:noProof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40FC9F" wp14:editId="27281989">
          <wp:simplePos x="0" y="0"/>
          <wp:positionH relativeFrom="column">
            <wp:posOffset>5755640</wp:posOffset>
          </wp:positionH>
          <wp:positionV relativeFrom="paragraph">
            <wp:posOffset>-195580</wp:posOffset>
          </wp:positionV>
          <wp:extent cx="603250" cy="590550"/>
          <wp:effectExtent l="19050" t="0" r="6350" b="0"/>
          <wp:wrapSquare wrapText="bothSides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668B">
      <w:rPr>
        <w:rFonts w:asciiTheme="minorHAnsi" w:hAnsiTheme="minorHAnsi"/>
        <w:noProof/>
        <w:sz w:val="20"/>
        <w:szCs w:val="20"/>
      </w:rPr>
      <w:t>Nasjonal Nettverksgruppe for behandlingshjelpemidler</w:t>
    </w:r>
  </w:p>
  <w:p w14:paraId="6D47448E" w14:textId="77777777" w:rsidR="002D729F" w:rsidRDefault="002D729F" w:rsidP="002D729F">
    <w:pPr>
      <w:pStyle w:val="Topptekst"/>
      <w:tabs>
        <w:tab w:val="clear" w:pos="4536"/>
        <w:tab w:val="center" w:pos="4962"/>
      </w:tabs>
      <w:rPr>
        <w:rFonts w:asciiTheme="minorHAnsi" w:hAnsiTheme="minorHAnsi"/>
        <w:noProof/>
        <w:sz w:val="20"/>
        <w:szCs w:val="20"/>
      </w:rPr>
    </w:pPr>
  </w:p>
  <w:p w14:paraId="621DE323" w14:textId="77777777" w:rsidR="002D729F" w:rsidRDefault="002D729F">
    <w:pPr>
      <w:pStyle w:val="Topptekst"/>
    </w:pPr>
  </w:p>
  <w:p w14:paraId="2F9F90C1" w14:textId="77777777" w:rsidR="002D729F" w:rsidRDefault="002D72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32F"/>
    <w:multiLevelType w:val="multilevel"/>
    <w:tmpl w:val="C34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62E76"/>
    <w:multiLevelType w:val="hybridMultilevel"/>
    <w:tmpl w:val="3F10A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58A"/>
    <w:multiLevelType w:val="hybridMultilevel"/>
    <w:tmpl w:val="6B343768"/>
    <w:lvl w:ilvl="0" w:tplc="3BDCBE9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2DEF"/>
    <w:multiLevelType w:val="hybridMultilevel"/>
    <w:tmpl w:val="B406B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C40"/>
    <w:multiLevelType w:val="hybridMultilevel"/>
    <w:tmpl w:val="A84A9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50B"/>
    <w:multiLevelType w:val="hybridMultilevel"/>
    <w:tmpl w:val="9CB8ABC8"/>
    <w:lvl w:ilvl="0" w:tplc="F90838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64E2"/>
    <w:multiLevelType w:val="hybridMultilevel"/>
    <w:tmpl w:val="91DE857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D0950"/>
    <w:multiLevelType w:val="hybridMultilevel"/>
    <w:tmpl w:val="018003D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5475"/>
    <w:multiLevelType w:val="hybridMultilevel"/>
    <w:tmpl w:val="BA24A36A"/>
    <w:lvl w:ilvl="0" w:tplc="82AC66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D2831"/>
    <w:multiLevelType w:val="hybridMultilevel"/>
    <w:tmpl w:val="5E34554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5647"/>
    <w:multiLevelType w:val="hybridMultilevel"/>
    <w:tmpl w:val="698C9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6541"/>
    <w:multiLevelType w:val="hybridMultilevel"/>
    <w:tmpl w:val="A4166FB0"/>
    <w:lvl w:ilvl="0" w:tplc="9F8A074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533FA"/>
    <w:multiLevelType w:val="hybridMultilevel"/>
    <w:tmpl w:val="1DB88960"/>
    <w:lvl w:ilvl="0" w:tplc="A3AECBB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9651E"/>
    <w:multiLevelType w:val="hybridMultilevel"/>
    <w:tmpl w:val="E07A5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D79AE"/>
    <w:multiLevelType w:val="hybridMultilevel"/>
    <w:tmpl w:val="9CFA9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2529F"/>
    <w:multiLevelType w:val="hybridMultilevel"/>
    <w:tmpl w:val="F704FC96"/>
    <w:lvl w:ilvl="0" w:tplc="E2FEDE68">
      <w:start w:val="2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A44C9"/>
    <w:multiLevelType w:val="hybridMultilevel"/>
    <w:tmpl w:val="CBC4CB2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16"/>
  </w:num>
  <w:num w:numId="10">
    <w:abstractNumId w:val="13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C"/>
    <w:rsid w:val="000022E0"/>
    <w:rsid w:val="00002D6F"/>
    <w:rsid w:val="00016115"/>
    <w:rsid w:val="0002121C"/>
    <w:rsid w:val="000250A4"/>
    <w:rsid w:val="00025F76"/>
    <w:rsid w:val="00041B81"/>
    <w:rsid w:val="00046F8B"/>
    <w:rsid w:val="00051B6F"/>
    <w:rsid w:val="000552E1"/>
    <w:rsid w:val="00057A15"/>
    <w:rsid w:val="000623F7"/>
    <w:rsid w:val="00064B5E"/>
    <w:rsid w:val="000662DE"/>
    <w:rsid w:val="00072351"/>
    <w:rsid w:val="00091A12"/>
    <w:rsid w:val="00095350"/>
    <w:rsid w:val="000960C5"/>
    <w:rsid w:val="00096537"/>
    <w:rsid w:val="000A5200"/>
    <w:rsid w:val="000B0F30"/>
    <w:rsid w:val="000B25AB"/>
    <w:rsid w:val="000B47B9"/>
    <w:rsid w:val="000B4EF8"/>
    <w:rsid w:val="000C5BEF"/>
    <w:rsid w:val="000D54B1"/>
    <w:rsid w:val="000F1AE8"/>
    <w:rsid w:val="0010783D"/>
    <w:rsid w:val="00112687"/>
    <w:rsid w:val="001300D5"/>
    <w:rsid w:val="00146177"/>
    <w:rsid w:val="00146F5B"/>
    <w:rsid w:val="00150ED9"/>
    <w:rsid w:val="001615F3"/>
    <w:rsid w:val="0016570D"/>
    <w:rsid w:val="00170EF8"/>
    <w:rsid w:val="001800C9"/>
    <w:rsid w:val="001A5625"/>
    <w:rsid w:val="001B0E7C"/>
    <w:rsid w:val="001B15B0"/>
    <w:rsid w:val="001B1D36"/>
    <w:rsid w:val="001C167B"/>
    <w:rsid w:val="001C1827"/>
    <w:rsid w:val="001E04FA"/>
    <w:rsid w:val="001E4544"/>
    <w:rsid w:val="00206C64"/>
    <w:rsid w:val="002073EE"/>
    <w:rsid w:val="00212BDA"/>
    <w:rsid w:val="00217AA1"/>
    <w:rsid w:val="00221647"/>
    <w:rsid w:val="00223678"/>
    <w:rsid w:val="00230605"/>
    <w:rsid w:val="002637B8"/>
    <w:rsid w:val="00266EF3"/>
    <w:rsid w:val="00277D5E"/>
    <w:rsid w:val="00281EB2"/>
    <w:rsid w:val="00284947"/>
    <w:rsid w:val="00293683"/>
    <w:rsid w:val="002A25CB"/>
    <w:rsid w:val="002A2A21"/>
    <w:rsid w:val="002B3909"/>
    <w:rsid w:val="002B521E"/>
    <w:rsid w:val="002C69FC"/>
    <w:rsid w:val="002D64B9"/>
    <w:rsid w:val="002D729F"/>
    <w:rsid w:val="002E1FFD"/>
    <w:rsid w:val="002E640B"/>
    <w:rsid w:val="002F35EA"/>
    <w:rsid w:val="00306197"/>
    <w:rsid w:val="00306DA7"/>
    <w:rsid w:val="00316A7D"/>
    <w:rsid w:val="00317CF6"/>
    <w:rsid w:val="00317D6C"/>
    <w:rsid w:val="00325F4F"/>
    <w:rsid w:val="003272A8"/>
    <w:rsid w:val="0034070B"/>
    <w:rsid w:val="00340BD3"/>
    <w:rsid w:val="00361DB8"/>
    <w:rsid w:val="0036694E"/>
    <w:rsid w:val="003701F5"/>
    <w:rsid w:val="00371377"/>
    <w:rsid w:val="003746C3"/>
    <w:rsid w:val="003826E1"/>
    <w:rsid w:val="00385A4B"/>
    <w:rsid w:val="003A4584"/>
    <w:rsid w:val="003B0ACF"/>
    <w:rsid w:val="003B0B3B"/>
    <w:rsid w:val="003B538A"/>
    <w:rsid w:val="003B7595"/>
    <w:rsid w:val="003C1B3F"/>
    <w:rsid w:val="003D0155"/>
    <w:rsid w:val="003D45AA"/>
    <w:rsid w:val="003E31E4"/>
    <w:rsid w:val="003E3E2A"/>
    <w:rsid w:val="003F2E81"/>
    <w:rsid w:val="003F4D55"/>
    <w:rsid w:val="004035AE"/>
    <w:rsid w:val="00414414"/>
    <w:rsid w:val="00417F1B"/>
    <w:rsid w:val="004206C2"/>
    <w:rsid w:val="00432176"/>
    <w:rsid w:val="004330F4"/>
    <w:rsid w:val="00433687"/>
    <w:rsid w:val="004443F9"/>
    <w:rsid w:val="0047011C"/>
    <w:rsid w:val="00476FC6"/>
    <w:rsid w:val="00483913"/>
    <w:rsid w:val="004947C3"/>
    <w:rsid w:val="004A2BA0"/>
    <w:rsid w:val="004A5DD6"/>
    <w:rsid w:val="004B34F8"/>
    <w:rsid w:val="004C3296"/>
    <w:rsid w:val="004C69A2"/>
    <w:rsid w:val="004D7816"/>
    <w:rsid w:val="004E4188"/>
    <w:rsid w:val="004E4F21"/>
    <w:rsid w:val="004E59A8"/>
    <w:rsid w:val="004E6009"/>
    <w:rsid w:val="004F7BDB"/>
    <w:rsid w:val="00501556"/>
    <w:rsid w:val="0051702C"/>
    <w:rsid w:val="00520489"/>
    <w:rsid w:val="005252BD"/>
    <w:rsid w:val="00537071"/>
    <w:rsid w:val="00537087"/>
    <w:rsid w:val="0054339A"/>
    <w:rsid w:val="00543C7A"/>
    <w:rsid w:val="00550141"/>
    <w:rsid w:val="00553317"/>
    <w:rsid w:val="005546A0"/>
    <w:rsid w:val="00555266"/>
    <w:rsid w:val="005701EA"/>
    <w:rsid w:val="00571B85"/>
    <w:rsid w:val="00586805"/>
    <w:rsid w:val="0058736E"/>
    <w:rsid w:val="0059066D"/>
    <w:rsid w:val="00593115"/>
    <w:rsid w:val="005A77A3"/>
    <w:rsid w:val="005B0B8D"/>
    <w:rsid w:val="005C0050"/>
    <w:rsid w:val="005C088A"/>
    <w:rsid w:val="005C129B"/>
    <w:rsid w:val="005C5442"/>
    <w:rsid w:val="005E3688"/>
    <w:rsid w:val="005F19C7"/>
    <w:rsid w:val="005F1E02"/>
    <w:rsid w:val="005F60CD"/>
    <w:rsid w:val="0060105E"/>
    <w:rsid w:val="00603004"/>
    <w:rsid w:val="006036A3"/>
    <w:rsid w:val="00603FE6"/>
    <w:rsid w:val="006040EA"/>
    <w:rsid w:val="006069FA"/>
    <w:rsid w:val="00607B76"/>
    <w:rsid w:val="006126D1"/>
    <w:rsid w:val="006203C1"/>
    <w:rsid w:val="00623DD7"/>
    <w:rsid w:val="00630BC0"/>
    <w:rsid w:val="00632003"/>
    <w:rsid w:val="00633381"/>
    <w:rsid w:val="00635140"/>
    <w:rsid w:val="00651DCD"/>
    <w:rsid w:val="00655158"/>
    <w:rsid w:val="0067225F"/>
    <w:rsid w:val="006737F9"/>
    <w:rsid w:val="0068404A"/>
    <w:rsid w:val="00696655"/>
    <w:rsid w:val="006A0A74"/>
    <w:rsid w:val="006A4079"/>
    <w:rsid w:val="006A4212"/>
    <w:rsid w:val="006A5262"/>
    <w:rsid w:val="006B1448"/>
    <w:rsid w:val="006B218A"/>
    <w:rsid w:val="006C4DA3"/>
    <w:rsid w:val="006C5CF1"/>
    <w:rsid w:val="006C6C1F"/>
    <w:rsid w:val="006D25A2"/>
    <w:rsid w:val="006D702E"/>
    <w:rsid w:val="006E47AD"/>
    <w:rsid w:val="006F56D6"/>
    <w:rsid w:val="00705F50"/>
    <w:rsid w:val="007145D4"/>
    <w:rsid w:val="00715AAA"/>
    <w:rsid w:val="00716900"/>
    <w:rsid w:val="00720832"/>
    <w:rsid w:val="00721DA7"/>
    <w:rsid w:val="00727CB6"/>
    <w:rsid w:val="0073664C"/>
    <w:rsid w:val="00745C77"/>
    <w:rsid w:val="0075072D"/>
    <w:rsid w:val="00753AA9"/>
    <w:rsid w:val="00761886"/>
    <w:rsid w:val="007650BB"/>
    <w:rsid w:val="007674F5"/>
    <w:rsid w:val="00790627"/>
    <w:rsid w:val="00790700"/>
    <w:rsid w:val="007A011E"/>
    <w:rsid w:val="007A10B8"/>
    <w:rsid w:val="007A7612"/>
    <w:rsid w:val="007A7859"/>
    <w:rsid w:val="007C1463"/>
    <w:rsid w:val="007C4AA1"/>
    <w:rsid w:val="007C6A03"/>
    <w:rsid w:val="007D12E2"/>
    <w:rsid w:val="007D748D"/>
    <w:rsid w:val="007D7A8A"/>
    <w:rsid w:val="008211AA"/>
    <w:rsid w:val="00821A78"/>
    <w:rsid w:val="008276D7"/>
    <w:rsid w:val="00830C65"/>
    <w:rsid w:val="00836EE6"/>
    <w:rsid w:val="008550E7"/>
    <w:rsid w:val="00862247"/>
    <w:rsid w:val="00864248"/>
    <w:rsid w:val="0087362D"/>
    <w:rsid w:val="008878BF"/>
    <w:rsid w:val="008919FB"/>
    <w:rsid w:val="00891D98"/>
    <w:rsid w:val="00894B98"/>
    <w:rsid w:val="00895A01"/>
    <w:rsid w:val="008A44B4"/>
    <w:rsid w:val="008C1EEC"/>
    <w:rsid w:val="008D2480"/>
    <w:rsid w:val="008D28A2"/>
    <w:rsid w:val="008D468A"/>
    <w:rsid w:val="008D7406"/>
    <w:rsid w:val="008E16DB"/>
    <w:rsid w:val="008E30B0"/>
    <w:rsid w:val="008E7A3D"/>
    <w:rsid w:val="0090246E"/>
    <w:rsid w:val="009055DE"/>
    <w:rsid w:val="00920914"/>
    <w:rsid w:val="009253DC"/>
    <w:rsid w:val="00926981"/>
    <w:rsid w:val="009307B4"/>
    <w:rsid w:val="009346D5"/>
    <w:rsid w:val="009409DC"/>
    <w:rsid w:val="0094187D"/>
    <w:rsid w:val="00952D14"/>
    <w:rsid w:val="009613BF"/>
    <w:rsid w:val="00981D43"/>
    <w:rsid w:val="00984FDF"/>
    <w:rsid w:val="00985E08"/>
    <w:rsid w:val="009861FF"/>
    <w:rsid w:val="00987436"/>
    <w:rsid w:val="009928A7"/>
    <w:rsid w:val="00994202"/>
    <w:rsid w:val="00995544"/>
    <w:rsid w:val="009B1FDA"/>
    <w:rsid w:val="009B27DF"/>
    <w:rsid w:val="009B3A29"/>
    <w:rsid w:val="009B7FA7"/>
    <w:rsid w:val="009C10A6"/>
    <w:rsid w:val="009C3CFD"/>
    <w:rsid w:val="009C5FE4"/>
    <w:rsid w:val="009D1F3E"/>
    <w:rsid w:val="009D47F6"/>
    <w:rsid w:val="009D731C"/>
    <w:rsid w:val="009F7E63"/>
    <w:rsid w:val="00A0485D"/>
    <w:rsid w:val="00A05CC7"/>
    <w:rsid w:val="00A06938"/>
    <w:rsid w:val="00A140B8"/>
    <w:rsid w:val="00A2001C"/>
    <w:rsid w:val="00A215BA"/>
    <w:rsid w:val="00A2601C"/>
    <w:rsid w:val="00A35AAD"/>
    <w:rsid w:val="00A47818"/>
    <w:rsid w:val="00A6152F"/>
    <w:rsid w:val="00A66FBF"/>
    <w:rsid w:val="00A73BC4"/>
    <w:rsid w:val="00A93C47"/>
    <w:rsid w:val="00AA11CA"/>
    <w:rsid w:val="00AA4E93"/>
    <w:rsid w:val="00AA7D35"/>
    <w:rsid w:val="00AB56CE"/>
    <w:rsid w:val="00AB698B"/>
    <w:rsid w:val="00AB70F6"/>
    <w:rsid w:val="00AB7931"/>
    <w:rsid w:val="00AD533E"/>
    <w:rsid w:val="00AE601E"/>
    <w:rsid w:val="00AE660A"/>
    <w:rsid w:val="00AE6E35"/>
    <w:rsid w:val="00AF19B8"/>
    <w:rsid w:val="00AF28F6"/>
    <w:rsid w:val="00AF30EB"/>
    <w:rsid w:val="00AF4194"/>
    <w:rsid w:val="00B0151F"/>
    <w:rsid w:val="00B0158D"/>
    <w:rsid w:val="00B02782"/>
    <w:rsid w:val="00B07154"/>
    <w:rsid w:val="00B13669"/>
    <w:rsid w:val="00B24009"/>
    <w:rsid w:val="00B30DCC"/>
    <w:rsid w:val="00B317D4"/>
    <w:rsid w:val="00B3714E"/>
    <w:rsid w:val="00B53FE0"/>
    <w:rsid w:val="00B54601"/>
    <w:rsid w:val="00B56077"/>
    <w:rsid w:val="00B74D16"/>
    <w:rsid w:val="00B8067A"/>
    <w:rsid w:val="00B80F40"/>
    <w:rsid w:val="00B84014"/>
    <w:rsid w:val="00B84B99"/>
    <w:rsid w:val="00B9048D"/>
    <w:rsid w:val="00B915C6"/>
    <w:rsid w:val="00B955A6"/>
    <w:rsid w:val="00B95CFD"/>
    <w:rsid w:val="00B96F29"/>
    <w:rsid w:val="00BA2613"/>
    <w:rsid w:val="00BA3072"/>
    <w:rsid w:val="00BA385C"/>
    <w:rsid w:val="00BA4CB6"/>
    <w:rsid w:val="00BB0C97"/>
    <w:rsid w:val="00BB218C"/>
    <w:rsid w:val="00BB54D6"/>
    <w:rsid w:val="00BD08CF"/>
    <w:rsid w:val="00BD4D08"/>
    <w:rsid w:val="00BD58E2"/>
    <w:rsid w:val="00BF385D"/>
    <w:rsid w:val="00C05435"/>
    <w:rsid w:val="00C1069B"/>
    <w:rsid w:val="00C46014"/>
    <w:rsid w:val="00C51DA0"/>
    <w:rsid w:val="00C52B70"/>
    <w:rsid w:val="00C53076"/>
    <w:rsid w:val="00C5621C"/>
    <w:rsid w:val="00C56A94"/>
    <w:rsid w:val="00C65FE1"/>
    <w:rsid w:val="00C67930"/>
    <w:rsid w:val="00C72BAF"/>
    <w:rsid w:val="00C75497"/>
    <w:rsid w:val="00C8179E"/>
    <w:rsid w:val="00C81A68"/>
    <w:rsid w:val="00C81C22"/>
    <w:rsid w:val="00C91049"/>
    <w:rsid w:val="00C968B5"/>
    <w:rsid w:val="00CA7183"/>
    <w:rsid w:val="00CB02C0"/>
    <w:rsid w:val="00CB257E"/>
    <w:rsid w:val="00CB571F"/>
    <w:rsid w:val="00CB5A7E"/>
    <w:rsid w:val="00CB7A02"/>
    <w:rsid w:val="00CC4D2E"/>
    <w:rsid w:val="00CD1F34"/>
    <w:rsid w:val="00CD565D"/>
    <w:rsid w:val="00CE0F72"/>
    <w:rsid w:val="00CE1DEB"/>
    <w:rsid w:val="00CE259B"/>
    <w:rsid w:val="00CF0994"/>
    <w:rsid w:val="00CF110A"/>
    <w:rsid w:val="00CF14C8"/>
    <w:rsid w:val="00CF41E8"/>
    <w:rsid w:val="00CF4C5E"/>
    <w:rsid w:val="00D01B5F"/>
    <w:rsid w:val="00D03A55"/>
    <w:rsid w:val="00D06C82"/>
    <w:rsid w:val="00D071CA"/>
    <w:rsid w:val="00D072E8"/>
    <w:rsid w:val="00D13EAD"/>
    <w:rsid w:val="00D158AD"/>
    <w:rsid w:val="00D20B2C"/>
    <w:rsid w:val="00D22194"/>
    <w:rsid w:val="00D33CF8"/>
    <w:rsid w:val="00D406B5"/>
    <w:rsid w:val="00D41002"/>
    <w:rsid w:val="00D44768"/>
    <w:rsid w:val="00D644DB"/>
    <w:rsid w:val="00D73D51"/>
    <w:rsid w:val="00D76C0A"/>
    <w:rsid w:val="00D8117D"/>
    <w:rsid w:val="00D865FC"/>
    <w:rsid w:val="00D876EE"/>
    <w:rsid w:val="00D969BE"/>
    <w:rsid w:val="00DB0F48"/>
    <w:rsid w:val="00DB33CA"/>
    <w:rsid w:val="00DB7CA8"/>
    <w:rsid w:val="00DC01B5"/>
    <w:rsid w:val="00DD2A4F"/>
    <w:rsid w:val="00DD3B07"/>
    <w:rsid w:val="00DD4720"/>
    <w:rsid w:val="00DE0E7C"/>
    <w:rsid w:val="00DE2979"/>
    <w:rsid w:val="00DE663F"/>
    <w:rsid w:val="00DF4770"/>
    <w:rsid w:val="00DF4AFB"/>
    <w:rsid w:val="00E01653"/>
    <w:rsid w:val="00E05EE3"/>
    <w:rsid w:val="00E17B5C"/>
    <w:rsid w:val="00E21571"/>
    <w:rsid w:val="00E22FDC"/>
    <w:rsid w:val="00E236D8"/>
    <w:rsid w:val="00E23BE4"/>
    <w:rsid w:val="00E40B32"/>
    <w:rsid w:val="00E44262"/>
    <w:rsid w:val="00E53167"/>
    <w:rsid w:val="00E54FA3"/>
    <w:rsid w:val="00E62207"/>
    <w:rsid w:val="00E776D2"/>
    <w:rsid w:val="00E80B71"/>
    <w:rsid w:val="00E82624"/>
    <w:rsid w:val="00E84588"/>
    <w:rsid w:val="00EB2784"/>
    <w:rsid w:val="00EB66E2"/>
    <w:rsid w:val="00EC4820"/>
    <w:rsid w:val="00EC6514"/>
    <w:rsid w:val="00EE1AFD"/>
    <w:rsid w:val="00EF0A23"/>
    <w:rsid w:val="00EF3E3A"/>
    <w:rsid w:val="00F00B7C"/>
    <w:rsid w:val="00F05AC4"/>
    <w:rsid w:val="00F07E16"/>
    <w:rsid w:val="00F219E1"/>
    <w:rsid w:val="00F23C2A"/>
    <w:rsid w:val="00F277DF"/>
    <w:rsid w:val="00F45A7B"/>
    <w:rsid w:val="00F4766D"/>
    <w:rsid w:val="00F510D8"/>
    <w:rsid w:val="00F52537"/>
    <w:rsid w:val="00F547B5"/>
    <w:rsid w:val="00F54DF8"/>
    <w:rsid w:val="00F609B2"/>
    <w:rsid w:val="00F618E5"/>
    <w:rsid w:val="00F64273"/>
    <w:rsid w:val="00F64385"/>
    <w:rsid w:val="00F663C8"/>
    <w:rsid w:val="00F7098D"/>
    <w:rsid w:val="00F75341"/>
    <w:rsid w:val="00F75AED"/>
    <w:rsid w:val="00FA6414"/>
    <w:rsid w:val="00FB20D5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51D6F95"/>
  <w15:docId w15:val="{C18F76B4-CFA2-43C5-81E8-25589379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8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B218C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TopptekstTegn">
    <w:name w:val="Topptekst Tegn"/>
    <w:basedOn w:val="Standardskriftforavsnitt"/>
    <w:link w:val="Topptekst"/>
    <w:uiPriority w:val="99"/>
    <w:rsid w:val="00BB218C"/>
    <w:rPr>
      <w:rFonts w:ascii="Garamond" w:hAnsi="Garamond"/>
      <w:sz w:val="24"/>
      <w:szCs w:val="24"/>
    </w:rPr>
  </w:style>
  <w:style w:type="table" w:styleId="Tabellrutenett">
    <w:name w:val="Table Grid"/>
    <w:basedOn w:val="Vanligtabell"/>
    <w:rsid w:val="00BB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B218C"/>
    <w:rPr>
      <w:b/>
      <w:bCs/>
      <w:strike w:val="0"/>
      <w:dstrike w:val="0"/>
      <w:color w:val="3070D1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BB218C"/>
    <w:pPr>
      <w:ind w:left="720"/>
      <w:contextualSpacing/>
    </w:pPr>
  </w:style>
  <w:style w:type="paragraph" w:styleId="Bunntekst">
    <w:name w:val="footer"/>
    <w:basedOn w:val="Normal"/>
    <w:link w:val="BunntekstTegn"/>
    <w:rsid w:val="00E44262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BunntekstTegn">
    <w:name w:val="Bunntekst Tegn"/>
    <w:basedOn w:val="Standardskriftforavsnitt"/>
    <w:link w:val="Bunntekst"/>
    <w:rsid w:val="00E44262"/>
    <w:rPr>
      <w:rFonts w:ascii="Garamond" w:hAnsi="Garamond"/>
      <w:sz w:val="24"/>
      <w:szCs w:val="24"/>
    </w:rPr>
  </w:style>
  <w:style w:type="paragraph" w:styleId="Bobletekst">
    <w:name w:val="Balloon Text"/>
    <w:basedOn w:val="Normal"/>
    <w:link w:val="BobletekstTegn"/>
    <w:rsid w:val="002D72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D72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56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CD565D"/>
  </w:style>
  <w:style w:type="paragraph" w:customStyle="1" w:styleId="Default">
    <w:name w:val="Default"/>
    <w:rsid w:val="005873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rsid w:val="004E59A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DE0E7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E0E7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E0E7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E0E7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E0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ehusinnkjop.no/avtaler/insulinpumper-cgm-og-forbruksmateriell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lden.sykehusene.no/display/MEDUSA/Oppsett+av+Medu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6172-EDB8-4887-8C76-88D8DF90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</Pages>
  <Words>1347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Haveland</dc:creator>
  <cp:lastModifiedBy>Haveland, Linda</cp:lastModifiedBy>
  <cp:revision>22</cp:revision>
  <cp:lastPrinted>2017-03-27T13:31:00Z</cp:lastPrinted>
  <dcterms:created xsi:type="dcterms:W3CDTF">2019-03-27T13:27:00Z</dcterms:created>
  <dcterms:modified xsi:type="dcterms:W3CDTF">2019-05-13T08:46:00Z</dcterms:modified>
</cp:coreProperties>
</file>