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3E" w:rsidRPr="00774872" w:rsidRDefault="006B7D3E" w:rsidP="006B7D3E">
      <w:pPr>
        <w:spacing w:after="120"/>
        <w:rPr>
          <w:rFonts w:ascii="Garamond" w:hAnsi="Garamond" w:cs="Arial"/>
          <w:b/>
          <w:color w:val="0070C0"/>
          <w:sz w:val="28"/>
          <w:szCs w:val="28"/>
        </w:rPr>
      </w:pPr>
      <w:bookmarkStart w:id="0" w:name="OLE_LINK6"/>
      <w:r>
        <w:rPr>
          <w:rFonts w:ascii="Garamond" w:hAnsi="Garamond" w:cs="Arial"/>
          <w:b/>
          <w:color w:val="0070C0"/>
          <w:sz w:val="28"/>
          <w:szCs w:val="28"/>
        </w:rPr>
        <w:t>Referat</w:t>
      </w:r>
      <w:r w:rsidRPr="00774872">
        <w:rPr>
          <w:rFonts w:ascii="Garamond" w:hAnsi="Garamond" w:cs="Arial"/>
          <w:b/>
          <w:color w:val="0070C0"/>
          <w:sz w:val="28"/>
          <w:szCs w:val="28"/>
        </w:rPr>
        <w:t xml:space="preserve"> NNB-møte </w:t>
      </w:r>
      <w:r>
        <w:rPr>
          <w:rFonts w:ascii="Garamond" w:hAnsi="Garamond" w:cs="Arial"/>
          <w:b/>
          <w:color w:val="0070C0"/>
          <w:sz w:val="28"/>
          <w:szCs w:val="28"/>
        </w:rPr>
        <w:t>tirsdag</w:t>
      </w:r>
      <w:r w:rsidRPr="00774872">
        <w:rPr>
          <w:rFonts w:ascii="Garamond" w:hAnsi="Garamond" w:cs="Arial"/>
          <w:b/>
          <w:color w:val="0070C0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0070C0"/>
          <w:sz w:val="28"/>
          <w:szCs w:val="28"/>
        </w:rPr>
        <w:t>28. mai 2019</w:t>
      </w:r>
    </w:p>
    <w:p w:rsidR="006B7D3E" w:rsidRPr="00774872" w:rsidRDefault="006B7D3E" w:rsidP="006B7D3E">
      <w:pPr>
        <w:rPr>
          <w:rFonts w:ascii="Garamond" w:hAnsi="Garamond" w:cs="Arial"/>
          <w:b/>
          <w:color w:val="0070C0"/>
        </w:rPr>
      </w:pPr>
      <w:r w:rsidRPr="00774872">
        <w:rPr>
          <w:rFonts w:ascii="Garamond" w:hAnsi="Garamond" w:cs="Arial"/>
          <w:b/>
          <w:color w:val="0070C0"/>
        </w:rPr>
        <w:t>NASJONAL NETTVERKSGRUPPE FORBEHANDLINGSHJELPMIDLER</w:t>
      </w:r>
    </w:p>
    <w:p w:rsidR="006B7D3E" w:rsidRDefault="006B7D3E" w:rsidP="006B7D3E">
      <w:pPr>
        <w:rPr>
          <w:rFonts w:ascii="Arial" w:hAnsi="Arial"/>
        </w:rPr>
      </w:pPr>
    </w:p>
    <w:tbl>
      <w:tblPr>
        <w:tblStyle w:val="Tabellrutenett"/>
        <w:tblW w:w="9356" w:type="dxa"/>
        <w:tblInd w:w="108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1"/>
        <w:gridCol w:w="993"/>
        <w:gridCol w:w="3402"/>
      </w:tblGrid>
      <w:tr w:rsidR="006B7D3E" w:rsidRPr="00C27AA0" w:rsidTr="00E25AE1">
        <w:tc>
          <w:tcPr>
            <w:tcW w:w="1560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Møteleder:</w:t>
            </w:r>
          </w:p>
        </w:tc>
        <w:tc>
          <w:tcPr>
            <w:tcW w:w="3401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>Jon Bruun-Hanssen</w:t>
            </w:r>
          </w:p>
        </w:tc>
        <w:tc>
          <w:tcPr>
            <w:tcW w:w="993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Tid:</w:t>
            </w:r>
          </w:p>
        </w:tc>
        <w:tc>
          <w:tcPr>
            <w:tcW w:w="3402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>09:30-15.00</w:t>
            </w:r>
          </w:p>
        </w:tc>
      </w:tr>
      <w:tr w:rsidR="006B7D3E" w:rsidRPr="00C27AA0" w:rsidTr="00E25AE1">
        <w:tc>
          <w:tcPr>
            <w:tcW w:w="1560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3401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 xml:space="preserve">Dag Søgaard </w:t>
            </w:r>
          </w:p>
        </w:tc>
        <w:tc>
          <w:tcPr>
            <w:tcW w:w="993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Sted:</w:t>
            </w:r>
          </w:p>
        </w:tc>
        <w:tc>
          <w:tcPr>
            <w:tcW w:w="3402" w:type="dxa"/>
          </w:tcPr>
          <w:p w:rsidR="006B7D3E" w:rsidRPr="00C27AA0" w:rsidRDefault="006B7D3E" w:rsidP="00E25AE1">
            <w:pPr>
              <w:tabs>
                <w:tab w:val="left" w:pos="1786"/>
              </w:tabs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>HSØ Møtesenter, Oslo</w:t>
            </w:r>
          </w:p>
        </w:tc>
      </w:tr>
      <w:tr w:rsidR="006B7D3E" w:rsidRPr="00C27AA0" w:rsidTr="00E25AE1">
        <w:tc>
          <w:tcPr>
            <w:tcW w:w="1560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Deltakere:</w:t>
            </w:r>
          </w:p>
        </w:tc>
        <w:tc>
          <w:tcPr>
            <w:tcW w:w="7796" w:type="dxa"/>
            <w:gridSpan w:val="3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 xml:space="preserve">Dag Søgaard, Bjørn Grytli, Elisabeth Fahlstrøm, Gunn Krogenes Larsen,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Jon Bruun-Hanssen, </w:t>
            </w:r>
            <w:r w:rsidRPr="00C27AA0">
              <w:rPr>
                <w:rFonts w:asciiTheme="majorHAnsi" w:hAnsiTheme="majorHAnsi" w:cs="Arial"/>
                <w:sz w:val="22"/>
                <w:szCs w:val="22"/>
              </w:rPr>
              <w:t xml:space="preserve">Kamilla Albrigtsen, Anne Rødal </w:t>
            </w:r>
          </w:p>
        </w:tc>
      </w:tr>
      <w:tr w:rsidR="006B7D3E" w:rsidRPr="00C27AA0" w:rsidTr="00E25AE1">
        <w:tc>
          <w:tcPr>
            <w:tcW w:w="1560" w:type="dxa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sz w:val="22"/>
                <w:szCs w:val="22"/>
              </w:rPr>
              <w:t>Fravær:</w:t>
            </w:r>
          </w:p>
        </w:tc>
        <w:tc>
          <w:tcPr>
            <w:tcW w:w="7796" w:type="dxa"/>
            <w:gridSpan w:val="3"/>
          </w:tcPr>
          <w:p w:rsidR="006B7D3E" w:rsidRPr="00C27AA0" w:rsidRDefault="006B7D3E" w:rsidP="00E25AE1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sz w:val="22"/>
                <w:szCs w:val="22"/>
              </w:rPr>
              <w:t>Kjersti Tollaksen Berit Herlofsen, Maria Rausandaksel</w:t>
            </w:r>
            <w:r>
              <w:rPr>
                <w:rFonts w:asciiTheme="majorHAnsi" w:hAnsiTheme="majorHAnsi" w:cs="Arial"/>
                <w:sz w:val="22"/>
                <w:szCs w:val="22"/>
              </w:rPr>
              <w:t>, Kristian Fougner, Bård Skage</w:t>
            </w:r>
          </w:p>
        </w:tc>
      </w:tr>
    </w:tbl>
    <w:p w:rsidR="006B7D3E" w:rsidRPr="00C27AA0" w:rsidRDefault="006B7D3E" w:rsidP="006B7D3E">
      <w:pPr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Sak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D3E" w:rsidRPr="00C27AA0" w:rsidRDefault="006B7D3E" w:rsidP="00E25AE1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Godkjenning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av innkalling og sakliste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3E" w:rsidRPr="00C27AA0" w:rsidRDefault="006B7D3E" w:rsidP="00E25AE1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Cs/>
                <w:sz w:val="22"/>
                <w:szCs w:val="22"/>
              </w:rPr>
              <w:t>Innkalling og sakliste godkjent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II.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Godkjenning av referat fra NNB-møte 21.3.2019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Referat godkjent uten merknader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sz w:val="22"/>
                <w:szCs w:val="22"/>
              </w:rPr>
              <w:t>13-2019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Generelt diabetes (Sykehusinnkjøp v/Andreas Rystrøm deltar i morgen på BHM-ledermøte)</w:t>
            </w:r>
          </w:p>
        </w:tc>
      </w:tr>
      <w:tr w:rsidR="006B7D3E" w:rsidRPr="00C27AA0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C27AA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Saken behandles i møte med lederne for BHM-enhetene 29.5.2109. Foreslått agenda er: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Cs/>
                <w:sz w:val="22"/>
                <w:szCs w:val="22"/>
              </w:rPr>
              <w:t>Avtale: Insulinpumper og CGM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27AA0">
              <w:rPr>
                <w:rFonts w:asciiTheme="majorHAnsi" w:hAnsiTheme="majorHAnsi"/>
                <w:sz w:val="22"/>
                <w:szCs w:val="22"/>
              </w:rPr>
              <w:t>Avtaleforvaltning – hvem, hva, hvordan?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27AA0">
              <w:rPr>
                <w:rFonts w:asciiTheme="majorHAnsi" w:hAnsiTheme="majorHAnsi"/>
                <w:sz w:val="22"/>
                <w:szCs w:val="22"/>
              </w:rPr>
              <w:t>Levering – Abbott; og generelt levering CGM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27AA0">
              <w:rPr>
                <w:rFonts w:asciiTheme="majorHAnsi" w:hAnsiTheme="majorHAnsi"/>
                <w:sz w:val="22"/>
                <w:szCs w:val="22"/>
              </w:rPr>
              <w:t>Bestemmelser i rammeavtalene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Cs/>
                <w:sz w:val="22"/>
                <w:szCs w:val="22"/>
              </w:rPr>
              <w:t>Anskaffelse: Ernæringspumper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27AA0">
              <w:rPr>
                <w:rFonts w:asciiTheme="majorHAnsi" w:hAnsiTheme="majorHAnsi"/>
                <w:sz w:val="22"/>
                <w:szCs w:val="22"/>
              </w:rPr>
              <w:t>Spesialisthelsetjenesten og Primærhelsetjenesten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5"/>
              </w:numPr>
              <w:ind w:left="1773" w:hanging="283"/>
              <w:rPr>
                <w:rFonts w:asciiTheme="majorHAnsi" w:hAnsiTheme="majorHAnsi"/>
                <w:sz w:val="22"/>
                <w:szCs w:val="22"/>
              </w:rPr>
            </w:pPr>
            <w:r w:rsidRPr="00FE2FF1">
              <w:rPr>
                <w:rFonts w:asciiTheme="majorHAnsi" w:hAnsiTheme="majorHAnsi"/>
                <w:sz w:val="22"/>
                <w:szCs w:val="22"/>
              </w:rPr>
              <w:t xml:space="preserve">§  Anskaffelsen av </w:t>
            </w:r>
            <w:r w:rsidRPr="00FE2FF1">
              <w:rPr>
                <w:rFonts w:asciiTheme="majorHAnsi" w:hAnsiTheme="majorHAnsi"/>
                <w:bCs/>
                <w:sz w:val="22"/>
                <w:szCs w:val="22"/>
              </w:rPr>
              <w:t>ernæringspumper</w:t>
            </w:r>
            <w:r w:rsidRPr="00FE2FF1">
              <w:rPr>
                <w:rFonts w:asciiTheme="majorHAnsi" w:hAnsiTheme="majorHAnsi"/>
                <w:sz w:val="22"/>
                <w:szCs w:val="22"/>
              </w:rPr>
              <w:t xml:space="preserve"> omhandler produkter som også håndteres av personell i primærhelsetjenestene, hvordan håndtere dette? 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5"/>
              </w:numPr>
              <w:ind w:left="1773" w:hanging="283"/>
              <w:rPr>
                <w:rFonts w:asciiTheme="majorHAnsi" w:hAnsiTheme="majorHAnsi"/>
                <w:sz w:val="22"/>
                <w:szCs w:val="22"/>
              </w:rPr>
            </w:pPr>
            <w:r w:rsidRPr="00FE2FF1">
              <w:rPr>
                <w:rFonts w:asciiTheme="majorHAnsi" w:hAnsiTheme="majorHAnsi"/>
                <w:sz w:val="22"/>
                <w:szCs w:val="22"/>
              </w:rPr>
              <w:t xml:space="preserve">§  HSØ RHF ber Sykehusinnkjøp avklarer dette, de ber oss ta dette opp i NNB (og første anledning er nå på onsdag). 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Cs/>
                <w:sz w:val="22"/>
                <w:szCs w:val="22"/>
              </w:rPr>
              <w:t>Eventuelt</w:t>
            </w:r>
          </w:p>
          <w:p w:rsidR="006B7D3E" w:rsidRPr="00C27AA0" w:rsidRDefault="006B7D3E" w:rsidP="006B7D3E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sz w:val="22"/>
                <w:szCs w:val="22"/>
              </w:rPr>
              <w:t>Bør legges inn en eventuelt diskusjon dersom n</w:t>
            </w:r>
            <w:r>
              <w:rPr>
                <w:rFonts w:asciiTheme="majorHAnsi" w:hAnsiTheme="majorHAnsi"/>
                <w:sz w:val="22"/>
                <w:szCs w:val="22"/>
              </w:rPr>
              <w:t>oen av dere har noe på hjertet</w:t>
            </w:r>
          </w:p>
          <w:p w:rsidR="006B7D3E" w:rsidRPr="00C27AA0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  <w:p w:rsidR="006B7D3E" w:rsidRPr="00C27AA0" w:rsidRDefault="006B7D3E" w:rsidP="00E25AE1">
            <w:pPr>
              <w:ind w:left="10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B7D3E" w:rsidRPr="00C27AA0" w:rsidTr="00E25AE1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sz w:val="22"/>
                <w:szCs w:val="22"/>
              </w:rPr>
              <w:t>14-2019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C27AA0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  <w:sz w:val="22"/>
                <w:szCs w:val="22"/>
              </w:rPr>
            </w:pP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Videre informasjon fra møte i Helsedirektoratet «Medisinsk utstyr – prinsipper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C27AA0">
              <w:rPr>
                <w:rFonts w:asciiTheme="majorHAnsi" w:hAnsiTheme="majorHAnsi"/>
                <w:b/>
                <w:bCs/>
                <w:sz w:val="22"/>
                <w:szCs w:val="22"/>
              </w:rPr>
              <w:t>for avklaring av finansiering»</w:t>
            </w:r>
          </w:p>
        </w:tc>
      </w:tr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hAnsiTheme="majorHAnsi" w:cs="Arial"/>
                <w:bCs/>
                <w:iCs/>
              </w:rPr>
              <w:t>Deltakere fra NNB i møtet vedr Finansieringsansvar Medisinsk utstyr - IKT- og oppgjørsløsninger var Elisabeth, Gunn og Dag. RHFene var godt representert, men med varierende kjennskap til behandlingshjelpemidler og den aktuelle problemstillingen.</w:t>
            </w:r>
          </w:p>
          <w:p w:rsidR="006B7D3E" w:rsidRPr="00FE2FF1" w:rsidRDefault="006B7D3E" w:rsidP="00E25AE1">
            <w:pPr>
              <w:spacing w:before="120" w:after="120"/>
              <w:ind w:left="572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  <w:r w:rsidRPr="00FE2FF1">
              <w:rPr>
                <w:rFonts w:asciiTheme="majorHAnsi" w:hAnsiTheme="majorHAnsi" w:cs="Arial"/>
                <w:bCs/>
                <w:i/>
                <w:iCs/>
              </w:rPr>
              <w:lastRenderedPageBreak/>
              <w:t>«De regionale helseforetakene er innkalt til første møte om delprosjekt 2 i Helsedirektoratet den 23. mai. På det første møtet skal ulike former for distribusjon av medisinsk utstyr brukt utenfor sykehus finansiert av RHF-ene drøftes. Dette vil gjelde både utstyr som i dag ligger under behandlingshjelpemidler, nytt medisinsk utstyr som vil plasseres i behandlingshjelpemidler og eventuelt medisinsk utstyr (forbruksmateriell) som i dag finansieres av folketrygden kapittel 5 som kan bli overført til RHF-enes finansieringsansvar.</w:t>
            </w:r>
          </w:p>
          <w:p w:rsidR="006B7D3E" w:rsidRPr="00FE2FF1" w:rsidRDefault="006B7D3E" w:rsidP="00E25AE1">
            <w:pPr>
              <w:spacing w:before="120" w:after="120"/>
              <w:ind w:left="572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  <w:r w:rsidRPr="00FE2FF1">
              <w:rPr>
                <w:rFonts w:asciiTheme="majorHAnsi" w:hAnsiTheme="majorHAnsi" w:cs="Arial"/>
                <w:bCs/>
                <w:i/>
                <w:iCs/>
              </w:rPr>
              <w:t>Vi ønsker innspill fra dere på framtidig distribusjon av medisinsk utstyr og forbruksmateriell, for eksempel via apotek. Dersom distribusjon skal gå via apotek vil det da være hensiktsmessig å bygge på H-reseptløsningen som eksisterer for legemidler eller kan man se for seg andre IKT- og oppgjørsløsninger?»</w:t>
            </w:r>
          </w:p>
          <w:p w:rsidR="006B7D3E" w:rsidRPr="00FE2FF1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hAnsiTheme="majorHAnsi" w:cs="Arial"/>
                <w:bCs/>
                <w:iCs/>
              </w:rPr>
              <w:t>Deltakerne fra NNB har noe ulik oppfatning av problemstilling og mål med delprosjekt 2. Det er innkalt til to nye møter i delprosjektet.</w:t>
            </w:r>
          </w:p>
          <w:p w:rsidR="006B7D3E" w:rsidRPr="00FE2FF1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hAnsiTheme="majorHAnsi" w:cs="Arial"/>
                <w:bCs/>
                <w:iCs/>
              </w:rPr>
              <w:t xml:space="preserve">Rapporten fra delprosjekt 1 Medisinsk utstyr Fordeling av finansieringsansvar Rapport IS-2827 er foreløpig ikke offentlig tilgjengelig. </w:t>
            </w:r>
          </w:p>
          <w:p w:rsidR="006B7D3E" w:rsidRPr="00FE2FF1" w:rsidRDefault="006B7D3E" w:rsidP="00E25AE1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hAnsiTheme="majorHAnsi" w:cs="Arial"/>
                <w:bCs/>
                <w:iCs/>
              </w:rPr>
              <w:t xml:space="preserve">I rapporten framgår: </w:t>
            </w:r>
          </w:p>
          <w:p w:rsidR="006B7D3E" w:rsidRPr="00FE2FF1" w:rsidRDefault="006B7D3E" w:rsidP="00E25AE1">
            <w:pPr>
              <w:spacing w:before="120" w:after="120"/>
              <w:ind w:left="572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  <w:r w:rsidRPr="00FE2FF1">
              <w:rPr>
                <w:rFonts w:asciiTheme="majorHAnsi" w:hAnsiTheme="majorHAnsi" w:cs="Arial"/>
                <w:bCs/>
                <w:i/>
                <w:iCs/>
              </w:rPr>
              <w:t>Finansieringsansvaret avklares før man beslutter om et medisinsk utstyr skal tas i bruk.</w:t>
            </w:r>
          </w:p>
          <w:p w:rsidR="006B7D3E" w:rsidRPr="00FE2FF1" w:rsidRDefault="006B7D3E" w:rsidP="00E25AE1">
            <w:pPr>
              <w:spacing w:before="120" w:after="120"/>
              <w:ind w:left="572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  <w:r w:rsidRPr="00FE2FF1">
              <w:rPr>
                <w:rFonts w:asciiTheme="majorHAnsi" w:hAnsiTheme="majorHAnsi" w:cs="Arial"/>
                <w:bCs/>
                <w:i/>
                <w:iCs/>
              </w:rPr>
              <w:t>Kriteriene som foreslås er:</w:t>
            </w:r>
          </w:p>
          <w:p w:rsidR="006B7D3E" w:rsidRPr="00FE2FF1" w:rsidRDefault="006B7D3E" w:rsidP="00E25AE1">
            <w:pPr>
              <w:spacing w:before="120" w:after="120"/>
              <w:ind w:left="572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  <w:r w:rsidRPr="00FE2FF1">
              <w:rPr>
                <w:rFonts w:asciiTheme="majorHAnsi" w:hAnsiTheme="majorHAnsi" w:cs="Arial"/>
                <w:bCs/>
                <w:i/>
                <w:iCs/>
              </w:rPr>
              <w:t>Spesialisthelsetjenesten har finansieringsansvaret for medisinsk utstyr i de tilfeller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4"/>
              </w:numPr>
              <w:spacing w:before="120" w:after="120"/>
              <w:ind w:left="1064" w:hanging="425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eastAsiaTheme="minorHAnsi" w:hAnsiTheme="majorHAnsi" w:cs="LiberationSans-Italic"/>
                <w:i/>
                <w:iCs/>
                <w:lang w:eastAsia="en-US"/>
              </w:rPr>
              <w:t xml:space="preserve">hvor utstyret og tilbehøret er nødvendig for pasientens behandling og 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4"/>
              </w:numPr>
              <w:spacing w:before="120" w:after="120"/>
              <w:ind w:left="1064" w:hanging="425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FE2FF1">
              <w:rPr>
                <w:rFonts w:asciiTheme="majorHAnsi" w:eastAsiaTheme="minorHAnsi" w:hAnsiTheme="majorHAnsi" w:cs="LiberationSans-Italic"/>
                <w:i/>
                <w:iCs/>
                <w:lang w:eastAsia="en-US"/>
              </w:rPr>
              <w:t>der initiering, evaluering og avslutning av behandlingen styres av lege i spesialisthelsetjenesten.</w:t>
            </w:r>
          </w:p>
        </w:tc>
      </w:tr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FE2FF1">
              <w:rPr>
                <w:rFonts w:asciiTheme="majorHAnsi" w:hAnsiTheme="majorHAnsi"/>
                <w:b/>
              </w:rPr>
              <w:lastRenderedPageBreak/>
              <w:t>15-2019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/>
                <w:bCs/>
              </w:rPr>
            </w:pPr>
            <w:r w:rsidRPr="00FE2FF1">
              <w:rPr>
                <w:rFonts w:asciiTheme="majorHAnsi" w:hAnsiTheme="majorHAnsi"/>
                <w:b/>
                <w:bCs/>
              </w:rPr>
              <w:t xml:space="preserve"> Medusa</w:t>
            </w:r>
          </w:p>
        </w:tc>
      </w:tr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Det er behov for oppdatering av Medusa BHM for bedre tilpasning til området. Brukerne opplever at det har vært mer fokus på generell MedTek. Det er også behov.</w:t>
            </w:r>
          </w:p>
          <w:p w:rsidR="006B7D3E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Hvilken rolle skal NNB ha f.eks. definisjon av nasjonale rapporter. Hva skal håndteres av etablerte organer (Forvaltningsrådet og Systemeierstyret). </w:t>
            </w:r>
          </w:p>
          <w:p w:rsidR="006B7D3E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NNB bør bidra til å definere hva det er behov for av nasjonale data og formidle dette via Forvaltningsrådet.</w:t>
            </w:r>
          </w:p>
          <w:p w:rsidR="006B7D3E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Det er trolig behov for at den enkelte bhm-enhet har kompetanse i BI Analytics for å kunne lage lokale rapporter. Opplæring kan med fordel skje som nasjonal opplæring. Rapporter som alle (eller mange) har behov for bør kunne defineres og bestilles fra leverandør. </w:t>
            </w:r>
          </w:p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NNB forbereder et arbeidsmøte 2.9.209 for å definere behov for nasjonale rapporter. Bjørn forbereder problemstillinger som sendes møtedeltakerne</w:t>
            </w:r>
          </w:p>
        </w:tc>
      </w:tr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 w:rsidRPr="00FE2FF1">
              <w:rPr>
                <w:rFonts w:asciiTheme="majorHAnsi" w:hAnsiTheme="majorHAnsi"/>
              </w:rPr>
              <w:lastRenderedPageBreak/>
              <w:t>16-2019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FE2FF1">
              <w:rPr>
                <w:rFonts w:asciiTheme="majorHAnsi" w:hAnsiTheme="majorHAnsi"/>
                <w:b/>
                <w:bCs/>
              </w:rPr>
              <w:t xml:space="preserve">Nasjonalt seminar for behandlingshjelpemidler </w:t>
            </w:r>
            <w:r>
              <w:rPr>
                <w:rFonts w:asciiTheme="majorHAnsi" w:hAnsiTheme="majorHAnsi"/>
                <w:b/>
                <w:bCs/>
              </w:rPr>
              <w:t xml:space="preserve">13.- 14.11 </w:t>
            </w:r>
            <w:r w:rsidRPr="00FE2FF1">
              <w:rPr>
                <w:rFonts w:asciiTheme="majorHAnsi" w:hAnsiTheme="majorHAnsi"/>
                <w:b/>
                <w:bCs/>
              </w:rPr>
              <w:t>2019</w:t>
            </w:r>
          </w:p>
          <w:p w:rsidR="002E5BE1" w:rsidRDefault="002E5BE1" w:rsidP="006B7D3E">
            <w:pPr>
              <w:pStyle w:val="Listeavsnitt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Program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bookmarkStart w:id="1" w:name="_GoBack"/>
            <w:bookmarkEnd w:id="1"/>
            <w:r w:rsidRPr="00FE2FF1">
              <w:rPr>
                <w:rFonts w:asciiTheme="majorHAnsi" w:hAnsiTheme="majorHAnsi"/>
                <w:bCs/>
              </w:rPr>
              <w:t>Forberedelser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Fordeling av ansvar og oppgaver</w:t>
            </w:r>
          </w:p>
        </w:tc>
      </w:tr>
      <w:tr w:rsidR="006B7D3E" w:rsidRPr="00E82B02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E82B02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E82B02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 w:rsidRPr="00E82B02">
              <w:rPr>
                <w:rFonts w:asciiTheme="majorHAnsi" w:hAnsiTheme="majorHAnsi"/>
              </w:rPr>
              <w:t>Vi bør markere at nasj</w:t>
            </w:r>
            <w:r>
              <w:rPr>
                <w:rFonts w:asciiTheme="majorHAnsi" w:hAnsiTheme="majorHAnsi"/>
              </w:rPr>
              <w:t>o</w:t>
            </w:r>
            <w:r w:rsidRPr="00E82B02">
              <w:rPr>
                <w:rFonts w:asciiTheme="majorHAnsi" w:hAnsiTheme="majorHAnsi"/>
              </w:rPr>
              <w:t xml:space="preserve">nalt seminar har </w:t>
            </w:r>
            <w:r>
              <w:rPr>
                <w:rFonts w:asciiTheme="majorHAnsi" w:hAnsiTheme="majorHAnsi"/>
              </w:rPr>
              <w:t>15 års seminar. Alle oppfordres til å lete fram utstyr, presentasjoner eller dokumenter fra BHM-historien. Kan enten framstilles i utstilling, presentasjon eller vedlegg i deltakermappe.</w:t>
            </w:r>
          </w:p>
        </w:tc>
      </w:tr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bookmarkStart w:id="2" w:name="_Hlk534204428"/>
            <w:r w:rsidRPr="00FE2FF1">
              <w:rPr>
                <w:rFonts w:asciiTheme="majorHAnsi" w:hAnsiTheme="majorHAnsi"/>
                <w:b/>
              </w:rPr>
              <w:t>17-2019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BHM-ledermøte</w:t>
            </w:r>
          </w:p>
          <w:p w:rsidR="006B7D3E" w:rsidRPr="00FE2FF1" w:rsidRDefault="006B7D3E" w:rsidP="006B7D3E">
            <w:pPr>
              <w:pStyle w:val="Listeavsnitt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FE2FF1">
              <w:rPr>
                <w:rFonts w:asciiTheme="majorHAnsi" w:hAnsiTheme="majorHAnsi"/>
                <w:bCs/>
              </w:rPr>
              <w:t>Forberedelser</w:t>
            </w:r>
          </w:p>
        </w:tc>
      </w:tr>
      <w:tr w:rsidR="006B7D3E" w:rsidRPr="00541086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541086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9254FB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Agenda for møtet ble diskutert og gått gjennom (eget vedlegg)</w:t>
            </w:r>
          </w:p>
        </w:tc>
      </w:tr>
      <w:bookmarkEnd w:id="2"/>
      <w:tr w:rsidR="006B7D3E" w:rsidRPr="00FE2FF1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 w:rsidRPr="00FE2FF1">
              <w:rPr>
                <w:rFonts w:asciiTheme="majorHAnsi" w:hAnsiTheme="majorHAnsi"/>
              </w:rPr>
              <w:t>18-2019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FE2FF1" w:rsidRDefault="006B7D3E" w:rsidP="00E25AE1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Cs/>
              </w:rPr>
            </w:pPr>
            <w:r w:rsidRPr="00FE2FF1">
              <w:rPr>
                <w:rFonts w:asciiTheme="majorHAnsi" w:hAnsiTheme="majorHAnsi"/>
                <w:b/>
                <w:bCs/>
              </w:rPr>
              <w:t>Eventuelt</w:t>
            </w:r>
          </w:p>
        </w:tc>
      </w:tr>
      <w:tr w:rsidR="006B7D3E" w:rsidRPr="005A53EC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5A53EC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Default="006B7D3E" w:rsidP="006B7D3E">
            <w:pPr>
              <w:pStyle w:val="Listeavsnitt"/>
              <w:numPr>
                <w:ilvl w:val="0"/>
                <w:numId w:val="6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left="497" w:right="-142" w:hanging="283"/>
              <w:rPr>
                <w:rFonts w:asciiTheme="majorHAnsi" w:hAnsiTheme="majorHAnsi"/>
                <w:bCs/>
              </w:rPr>
            </w:pPr>
            <w:r w:rsidRPr="005A53EC">
              <w:rPr>
                <w:rFonts w:asciiTheme="majorHAnsi" w:hAnsiTheme="majorHAnsi"/>
                <w:bCs/>
              </w:rPr>
              <w:t>Innkjøpsstrategi for behandlingshjelpemidler</w:t>
            </w:r>
          </w:p>
          <w:p w:rsidR="006B7D3E" w:rsidRDefault="006B7D3E" w:rsidP="006B7D3E">
            <w:pPr>
              <w:pStyle w:val="Listeavsnitt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Tas opp med Sykehusinnkjøp</w:t>
            </w:r>
          </w:p>
          <w:p w:rsidR="006B7D3E" w:rsidRDefault="006B7D3E" w:rsidP="006B7D3E">
            <w:pPr>
              <w:pStyle w:val="Listeavsnitt"/>
              <w:numPr>
                <w:ilvl w:val="1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1064" w:right="-140" w:hanging="42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Elisabeth samler inn innspill til Sykehusinnkjøp</w:t>
            </w:r>
          </w:p>
          <w:p w:rsidR="006B7D3E" w:rsidRDefault="006B7D3E" w:rsidP="006B7D3E">
            <w:pPr>
              <w:pStyle w:val="Listeavsnitt"/>
              <w:numPr>
                <w:ilvl w:val="1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1064" w:right="-140" w:hanging="42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Informasjon</w:t>
            </w:r>
          </w:p>
          <w:p w:rsidR="006B7D3E" w:rsidRDefault="006B7D3E" w:rsidP="006B7D3E">
            <w:pPr>
              <w:pStyle w:val="Listeavsnitt"/>
              <w:numPr>
                <w:ilvl w:val="1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1064" w:right="-140" w:hanging="42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Framtidig avtaleforvaltning</w:t>
            </w:r>
          </w:p>
          <w:p w:rsidR="006B7D3E" w:rsidRDefault="006B7D3E" w:rsidP="006B7D3E">
            <w:pPr>
              <w:pStyle w:val="Listeavsnitt"/>
              <w:numPr>
                <w:ilvl w:val="1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1064" w:right="-140" w:hanging="42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Strategi for selve utstyret</w:t>
            </w:r>
          </w:p>
          <w:p w:rsidR="006B7D3E" w:rsidRDefault="006B7D3E" w:rsidP="006B7D3E">
            <w:pPr>
              <w:pStyle w:val="Listeavsnitt"/>
              <w:numPr>
                <w:ilvl w:val="0"/>
                <w:numId w:val="6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left="497" w:right="-142" w:hanging="28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Penisproteser og kompresjonsvester</w:t>
            </w:r>
          </w:p>
          <w:p w:rsidR="006B7D3E" w:rsidRDefault="006B7D3E" w:rsidP="006B7D3E">
            <w:pPr>
              <w:pStyle w:val="Listeavsnitt"/>
              <w:numPr>
                <w:ilvl w:val="0"/>
                <w:numId w:val="6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left="497" w:right="-142" w:hanging="28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Ahus har inntil nå administrert alle henvendelser og utsendinger. Oppgaven overføres til de enkelte HFene. Ahus sender ut informasjon til bhm-enhetene</w:t>
            </w:r>
            <w:r w:rsidRPr="00EB6BA5">
              <w:rPr>
                <w:rFonts w:asciiTheme="majorHAnsi" w:hAnsiTheme="majorHAnsi"/>
                <w:bCs/>
              </w:rPr>
              <w:t xml:space="preserve"> og leverandører</w:t>
            </w:r>
          </w:p>
          <w:p w:rsidR="006B7D3E" w:rsidRDefault="006B7D3E" w:rsidP="006B7D3E">
            <w:pPr>
              <w:pStyle w:val="Listeavsnitt"/>
              <w:numPr>
                <w:ilvl w:val="0"/>
                <w:numId w:val="6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left="497" w:right="-142" w:hanging="28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Hårfjerning: Ahus jobber med konkurranse og vil dele kravspesifikasjon med andre HF</w:t>
            </w:r>
          </w:p>
          <w:p w:rsidR="006B7D3E" w:rsidRDefault="006B7D3E" w:rsidP="006B7D3E">
            <w:pPr>
              <w:pStyle w:val="Listeavsnitt"/>
              <w:numPr>
                <w:ilvl w:val="0"/>
                <w:numId w:val="6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left="497" w:right="-142" w:hanging="28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Krav mot leverandører i forbindelse med mangelfulle leveranser/tilbakekalling der vi utfører arbeid på deres vegne.  </w:t>
            </w:r>
          </w:p>
          <w:p w:rsidR="006B7D3E" w:rsidRPr="00BC69F6" w:rsidRDefault="006B7D3E" w:rsidP="006B7D3E">
            <w:pPr>
              <w:pStyle w:val="Listeavsnitt"/>
              <w:numPr>
                <w:ilvl w:val="1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1064" w:right="-140" w:hanging="425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 bør samarbeide nasjonalt om system for økonomisk krav mot leverandør</w:t>
            </w:r>
          </w:p>
        </w:tc>
      </w:tr>
      <w:tr w:rsidR="006B7D3E" w:rsidRPr="005A53EC" w:rsidTr="00E25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5A53EC" w:rsidRDefault="006B7D3E" w:rsidP="00E25AE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E" w:rsidRPr="00B242BD" w:rsidRDefault="006B7D3E" w:rsidP="00E25AE1">
            <w:p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Saker til neste møte: Vakuum/sår-pumper</w:t>
            </w:r>
          </w:p>
        </w:tc>
      </w:tr>
      <w:bookmarkEnd w:id="0"/>
    </w:tbl>
    <w:p w:rsidR="00D95D85" w:rsidRDefault="00D95D85"/>
    <w:sectPr w:rsidR="00D95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3E" w:rsidRDefault="006B7D3E" w:rsidP="006B7D3E">
      <w:r>
        <w:separator/>
      </w:r>
    </w:p>
  </w:endnote>
  <w:endnote w:type="continuationSeparator" w:id="0">
    <w:p w:rsidR="006B7D3E" w:rsidRDefault="006B7D3E" w:rsidP="006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3E" w:rsidRDefault="006B7D3E" w:rsidP="006B7D3E">
      <w:r>
        <w:separator/>
      </w:r>
    </w:p>
  </w:footnote>
  <w:footnote w:type="continuationSeparator" w:id="0">
    <w:p w:rsidR="006B7D3E" w:rsidRDefault="006B7D3E" w:rsidP="006B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  <w:gridCol w:w="1079"/>
    </w:tblGrid>
    <w:tr w:rsidR="006B7D3E" w:rsidTr="00E25AE1">
      <w:trPr>
        <w:trHeight w:val="896"/>
      </w:trPr>
      <w:tc>
        <w:tcPr>
          <w:tcW w:w="8880" w:type="dxa"/>
        </w:tcPr>
        <w:p w:rsidR="006B7D3E" w:rsidRDefault="006B7D3E" w:rsidP="006B7D3E">
          <w:pPr>
            <w:pStyle w:val="Topptekst"/>
            <w:tabs>
              <w:tab w:val="clear" w:pos="4536"/>
              <w:tab w:val="clear" w:pos="9072"/>
              <w:tab w:val="center" w:pos="4962"/>
              <w:tab w:val="right" w:pos="9214"/>
            </w:tabs>
            <w:ind w:left="4253"/>
            <w:jc w:val="center"/>
            <w:rPr>
              <w:rFonts w:asciiTheme="minorHAnsi" w:hAnsiTheme="minorHAnsi"/>
              <w:noProof/>
              <w:sz w:val="20"/>
              <w:szCs w:val="20"/>
            </w:rPr>
          </w:pPr>
          <w:r w:rsidRPr="00E9668B">
            <w:rPr>
              <w:rFonts w:asciiTheme="minorHAnsi" w:hAnsiTheme="minorHAnsi"/>
              <w:noProof/>
              <w:sz w:val="20"/>
              <w:szCs w:val="20"/>
            </w:rPr>
            <w:t>Nasjonal Nettverksgruppe for behandlingshjelpemidler</w:t>
          </w:r>
        </w:p>
        <w:p w:rsidR="006B7D3E" w:rsidRDefault="006B7D3E" w:rsidP="006B7D3E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B7D3E" w:rsidRDefault="006B7D3E" w:rsidP="006B7D3E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B7D3E" w:rsidRDefault="006B7D3E" w:rsidP="006B7D3E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B7D3E" w:rsidRDefault="006B7D3E" w:rsidP="006B7D3E">
          <w:pPr>
            <w:pStyle w:val="Topptekst"/>
          </w:pPr>
        </w:p>
      </w:tc>
      <w:tc>
        <w:tcPr>
          <w:tcW w:w="1079" w:type="dxa"/>
        </w:tcPr>
        <w:p w:rsidR="006B7D3E" w:rsidRDefault="006B7D3E" w:rsidP="006B7D3E">
          <w:pPr>
            <w:pStyle w:val="Topptekst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57FED6" wp14:editId="75D82165">
                <wp:simplePos x="0" y="0"/>
                <wp:positionH relativeFrom="column">
                  <wp:posOffset>148590</wp:posOffset>
                </wp:positionH>
                <wp:positionV relativeFrom="paragraph">
                  <wp:posOffset>-146050</wp:posOffset>
                </wp:positionV>
                <wp:extent cx="600075" cy="593090"/>
                <wp:effectExtent l="19050" t="0" r="9525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D3E" w:rsidRDefault="006B7D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22"/>
    <w:multiLevelType w:val="hybridMultilevel"/>
    <w:tmpl w:val="C6507E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1A5"/>
    <w:multiLevelType w:val="hybridMultilevel"/>
    <w:tmpl w:val="C248D7B4"/>
    <w:lvl w:ilvl="0" w:tplc="9F8A0748">
      <w:start w:val="7"/>
      <w:numFmt w:val="bullet"/>
      <w:lvlText w:val="-"/>
      <w:lvlJc w:val="left"/>
      <w:pPr>
        <w:ind w:left="2517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" w15:restartNumberingAfterBreak="0">
    <w:nsid w:val="2A0D73A5"/>
    <w:multiLevelType w:val="hybridMultilevel"/>
    <w:tmpl w:val="4614D79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A6541"/>
    <w:multiLevelType w:val="hybridMultilevel"/>
    <w:tmpl w:val="3D64B938"/>
    <w:lvl w:ilvl="0" w:tplc="9F8A074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6F8"/>
    <w:multiLevelType w:val="hybridMultilevel"/>
    <w:tmpl w:val="7CD0D2DE"/>
    <w:lvl w:ilvl="0" w:tplc="60A62E9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54E2E"/>
    <w:multiLevelType w:val="hybridMultilevel"/>
    <w:tmpl w:val="11567E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3E"/>
    <w:rsid w:val="002E5BE1"/>
    <w:rsid w:val="006B7D3E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4D7"/>
  <w15:chartTrackingRefBased/>
  <w15:docId w15:val="{A1494CEA-19AE-49A1-8A40-4F605C7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D3E"/>
    <w:pPr>
      <w:ind w:left="720"/>
      <w:contextualSpacing/>
    </w:pPr>
  </w:style>
  <w:style w:type="table" w:styleId="Tabellrutenett">
    <w:name w:val="Table Grid"/>
    <w:basedOn w:val="Vanligtabell"/>
    <w:rsid w:val="006B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D3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nhideWhenUsed/>
    <w:rsid w:val="006B7D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7D3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B7D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7D3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Haveland, Linda</dc:creator>
  <cp:keywords/>
  <dc:description/>
  <cp:lastModifiedBy>Haveland, Linda</cp:lastModifiedBy>
  <cp:revision>2</cp:revision>
  <dcterms:created xsi:type="dcterms:W3CDTF">2019-06-12T07:51:00Z</dcterms:created>
  <dcterms:modified xsi:type="dcterms:W3CDTF">2019-06-12T08:34:00Z</dcterms:modified>
</cp:coreProperties>
</file>